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 el cuadrado y completa.</w:t>
      </w:r>
    </w:p>
    <w:p w:rsidR="00000000" w:rsidDel="00000000" w:rsidP="00000000" w:rsidRDefault="00000000" w:rsidRPr="00000000" w14:paraId="0000000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12121" cy="900000"/>
            <wp:effectExtent b="0" l="0" r="0" t="0"/>
            <wp:docPr id="187600966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10934" l="538" r="78745" t="3383"/>
                    <a:stretch>
                      <a:fillRect/>
                    </a:stretch>
                  </pic:blipFill>
                  <pic:spPr>
                    <a:xfrm>
                      <a:off x="0" y="0"/>
                      <a:ext cx="912121" cy="9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cuadrado ha sido dividido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441525" cy="441525"/>
                <wp:effectExtent b="0" l="0" r="0" t="0"/>
                <wp:docPr id="18760096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30000" y="3564000"/>
                          <a:ext cx="432000" cy="432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525" cy="441525"/>
                <wp:effectExtent b="0" l="0" r="0" t="0"/>
                <wp:docPr id="187600965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525" cy="44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partes iguales.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Cada parte representada se llama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629525" cy="441525"/>
                <wp:effectExtent b="0" l="0" r="0" t="0"/>
                <wp:docPr id="18760096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36000" y="3564000"/>
                          <a:ext cx="1620000" cy="432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29525" cy="441525"/>
                <wp:effectExtent b="0" l="0" r="0" t="0"/>
                <wp:docPr id="187600965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525" cy="44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 se escribe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mc:AlternateContent>
          <mc:Choice Requires="wpg">
            <w:drawing>
              <wp:inline distB="0" distT="0" distL="0" distR="0">
                <wp:extent cx="432000" cy="720000"/>
                <wp:effectExtent b="0" l="0" r="0" t="0"/>
                <wp:docPr id="18760096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25225" y="3415225"/>
                          <a:ext cx="432000" cy="720000"/>
                          <a:chOff x="5125225" y="3415225"/>
                          <a:chExt cx="441550" cy="729550"/>
                        </a:xfrm>
                      </wpg:grpSpPr>
                      <wpg:grpSp>
                        <wpg:cNvGrpSpPr/>
                        <wpg:grpSpPr>
                          <a:xfrm>
                            <a:off x="5130000" y="3420000"/>
                            <a:ext cx="432000" cy="720000"/>
                            <a:chOff x="3330281" y="856839"/>
                            <a:chExt cx="769528" cy="131642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330281" y="856839"/>
                              <a:ext cx="769525" cy="131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330281" y="856839"/>
                              <a:ext cx="769528" cy="13164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425396" y="1504604"/>
                              <a:ext cx="5481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2000" cy="720000"/>
                <wp:effectExtent b="0" l="0" r="0" t="0"/>
                <wp:docPr id="187600966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que las fracciones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 o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representan la parte de un todo, de manera concreta, pictórica o simbólica.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un medio,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¿Qué parte representa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Píntala.</w:t>
      </w:r>
    </w:p>
    <w:p w:rsidR="00000000" w:rsidDel="00000000" w:rsidP="00000000" w:rsidRDefault="00000000" w:rsidRPr="00000000" w14:paraId="0000002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43000" cy="1133475"/>
            <wp:effectExtent b="0" l="0" r="0" t="0"/>
            <wp:docPr id="187600967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3"/>
        <w:gridCol w:w="6301"/>
        <w:tblGridChange w:id="0">
          <w:tblGrid>
            <w:gridCol w:w="2743"/>
            <w:gridCol w:w="630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5300" cy="504825"/>
                  <wp:effectExtent b="0" l="0" r="0" t="0"/>
                  <wp:docPr id="18760096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Representa cada fracción.</w:t>
      </w:r>
    </w:p>
    <w:p w:rsidR="00000000" w:rsidDel="00000000" w:rsidP="00000000" w:rsidRDefault="00000000" w:rsidRPr="00000000" w14:paraId="0000003C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b)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5103"/>
          <w:tab w:val="left" w:leader="none" w:pos="5245"/>
        </w:tabs>
        <w:ind w:left="36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0" distT="0" distL="0" distR="0">
                <wp:extent cx="1025525" cy="977265"/>
                <wp:effectExtent b="0" l="0" r="0" t="0"/>
                <wp:docPr id="18760096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925" y="3290075"/>
                          <a:ext cx="1025525" cy="977265"/>
                          <a:chOff x="4831925" y="3290075"/>
                          <a:chExt cx="1028150" cy="979850"/>
                        </a:xfrm>
                      </wpg:grpSpPr>
                      <wpg:grpSp>
                        <wpg:cNvGrpSpPr/>
                        <wpg:grpSpPr>
                          <a:xfrm>
                            <a:off x="4833238" y="3291368"/>
                            <a:ext cx="1025525" cy="977265"/>
                            <a:chOff x="1142275" y="685500"/>
                            <a:chExt cx="1410550" cy="13394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142275" y="685500"/>
                              <a:ext cx="1410550" cy="133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47050" y="690275"/>
                              <a:ext cx="1401000" cy="13299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47550" y="690275"/>
                              <a:ext cx="0" cy="1329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47050" y="1355225"/>
                              <a:ext cx="1401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25525" cy="977265"/>
                <wp:effectExtent b="0" l="0" r="0" t="0"/>
                <wp:docPr id="187600966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77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0" distT="0" distL="0" distR="0">
                <wp:extent cx="1025525" cy="977265"/>
                <wp:effectExtent b="0" l="0" r="0" t="0"/>
                <wp:docPr id="18760096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925" y="3290075"/>
                          <a:ext cx="1025525" cy="977265"/>
                          <a:chOff x="4831925" y="3290075"/>
                          <a:chExt cx="1028150" cy="979850"/>
                        </a:xfrm>
                      </wpg:grpSpPr>
                      <wpg:grpSp>
                        <wpg:cNvGrpSpPr/>
                        <wpg:grpSpPr>
                          <a:xfrm>
                            <a:off x="4833238" y="3291368"/>
                            <a:ext cx="1025525" cy="977265"/>
                            <a:chOff x="1142275" y="685500"/>
                            <a:chExt cx="1410550" cy="13394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142275" y="685500"/>
                              <a:ext cx="1410550" cy="133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47050" y="690275"/>
                              <a:ext cx="1401000" cy="13299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47550" y="690275"/>
                              <a:ext cx="0" cy="1329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47050" y="1355225"/>
                              <a:ext cx="1401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25525" cy="977265"/>
                <wp:effectExtent b="0" l="0" r="0" t="0"/>
                <wp:docPr id="187600966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77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4"/>
        <w:gridCol w:w="6280"/>
        <w:tblGridChange w:id="0">
          <w:tblGrid>
            <w:gridCol w:w="2734"/>
            <w:gridCol w:w="628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38188" cy="704012"/>
                      <wp:effectExtent b="0" l="0" r="0" t="0"/>
                      <wp:docPr id="18760096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74625" y="3425725"/>
                                <a:ext cx="738188" cy="704012"/>
                                <a:chOff x="4974625" y="3425725"/>
                                <a:chExt cx="742750" cy="708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76906" y="3427994"/>
                                  <a:ext cx="738188" cy="704012"/>
                                  <a:chOff x="1142275" y="685500"/>
                                  <a:chExt cx="1410550" cy="1339450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142275" y="685500"/>
                                    <a:ext cx="1410550" cy="133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1147050" y="690275"/>
                                    <a:ext cx="1401000" cy="13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47550" y="690275"/>
                                    <a:ext cx="0" cy="1329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47050" y="1355225"/>
                                    <a:ext cx="1401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1147050" y="690275"/>
                                    <a:ext cx="700200" cy="66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86E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38188" cy="704012"/>
                      <wp:effectExtent b="0" l="0" r="0" t="0"/>
                      <wp:docPr id="187600966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04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ab/>
              <w:tab/>
              <w:t xml:space="preserve">b)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37870" cy="702945"/>
                      <wp:effectExtent b="0" l="0" r="0" t="0"/>
                      <wp:docPr id="18760096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74800" y="3426250"/>
                                <a:ext cx="737870" cy="702945"/>
                                <a:chOff x="4974800" y="3426250"/>
                                <a:chExt cx="742400" cy="707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77065" y="3428528"/>
                                  <a:ext cx="737870" cy="702945"/>
                                  <a:chOff x="1142275" y="685500"/>
                                  <a:chExt cx="1410550" cy="1339450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142275" y="685500"/>
                                    <a:ext cx="1410550" cy="133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147050" y="690275"/>
                                    <a:ext cx="1401000" cy="13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47550" y="690275"/>
                                    <a:ext cx="0" cy="1329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47050" y="1355225"/>
                                    <a:ext cx="1401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1147050" y="690275"/>
                                    <a:ext cx="700200" cy="1329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86E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37870" cy="702945"/>
                      <wp:effectExtent b="0" l="0" r="0" t="0"/>
                      <wp:docPr id="187600966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7870" cy="702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 la figura y responde.</w:t>
      </w:r>
    </w:p>
    <w:p w:rsidR="00000000" w:rsidDel="00000000" w:rsidP="00000000" w:rsidRDefault="00000000" w:rsidRPr="00000000" w14:paraId="00000057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295400" cy="1409700"/>
            <wp:effectExtent b="0" l="0" r="0" t="0"/>
            <wp:docPr descr="Forma, Polígono&#10;&#10;Descripción generada automáticamente" id="1876009674" name="image3.png"/>
            <a:graphic>
              <a:graphicData uri="http://schemas.openxmlformats.org/drawingml/2006/picture">
                <pic:pic>
                  <pic:nvPicPr>
                    <pic:cNvPr descr="Forma, Polígono&#10;&#10;Descripción generada automáticamente"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triángulo ha sido dividido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441525" cy="441525"/>
                <wp:effectExtent b="0" l="0" r="0" t="0"/>
                <wp:docPr id="187600966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30000" y="3564000"/>
                          <a:ext cx="432000" cy="432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525" cy="441525"/>
                <wp:effectExtent b="0" l="0" r="0" t="0"/>
                <wp:docPr id="187600966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525" cy="44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partes iguales.</w:t>
      </w:r>
    </w:p>
    <w:p w:rsidR="00000000" w:rsidDel="00000000" w:rsidP="00000000" w:rsidRDefault="00000000" w:rsidRPr="00000000" w14:paraId="0000005B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pintas dos partes, la fracción representada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mc:AlternateContent>
          <mc:Choice Requires="wpg">
            <w:drawing>
              <wp:inline distB="0" distT="0" distL="0" distR="0">
                <wp:extent cx="432000" cy="720000"/>
                <wp:effectExtent b="0" l="0" r="0" t="0"/>
                <wp:docPr id="18760096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25225" y="3415225"/>
                          <a:ext cx="432000" cy="720000"/>
                          <a:chOff x="5125225" y="3415225"/>
                          <a:chExt cx="441550" cy="729550"/>
                        </a:xfrm>
                      </wpg:grpSpPr>
                      <wpg:grpSp>
                        <wpg:cNvGrpSpPr/>
                        <wpg:grpSpPr>
                          <a:xfrm>
                            <a:off x="5130000" y="3420000"/>
                            <a:ext cx="432000" cy="720000"/>
                            <a:chOff x="3330281" y="856839"/>
                            <a:chExt cx="769528" cy="131642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330281" y="856839"/>
                              <a:ext cx="769525" cy="131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330281" y="856839"/>
                              <a:ext cx="769528" cy="13164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425396" y="1504604"/>
                              <a:ext cx="5481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2000" cy="720000"/>
                <wp:effectExtent b="0" l="0" r="0" t="0"/>
                <wp:docPr id="187600966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7"/>
        <w:gridCol w:w="6311"/>
        <w:tblGridChange w:id="0">
          <w:tblGrid>
            <w:gridCol w:w="2747"/>
            <w:gridCol w:w="6311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4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Une cada representación con su fracción.</w:t>
      </w:r>
    </w:p>
    <w:p w:rsidR="00000000" w:rsidDel="00000000" w:rsidP="00000000" w:rsidRDefault="00000000" w:rsidRPr="00000000" w14:paraId="0000007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695575" cy="781050"/>
            <wp:effectExtent b="0" l="0" r="0" t="0"/>
            <wp:docPr id="187600967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3834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695575" cy="504825"/>
            <wp:effectExtent b="0" l="0" r="0" t="0"/>
            <wp:docPr descr="Imagen que contiene Gráfico&#10;&#10;Descripción generada automáticamente" id="1876009676" name="image4.png"/>
            <a:graphic>
              <a:graphicData uri="http://schemas.openxmlformats.org/drawingml/2006/picture">
                <pic:pic>
                  <pic:nvPicPr>
                    <pic:cNvPr descr="Imagen que contiene Gráfico&#10;&#10;Descripción generada automáticamente" id="0" name="image4.png"/>
                    <pic:cNvPicPr preferRelativeResize="0"/>
                  </pic:nvPicPr>
                  <pic:blipFill>
                    <a:blip r:embed="rId20"/>
                    <a:srcRect b="0" l="0" r="0" t="6015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7"/>
        <w:gridCol w:w="6332"/>
        <w:tblGridChange w:id="0">
          <w:tblGrid>
            <w:gridCol w:w="2757"/>
            <w:gridCol w:w="633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57325" cy="809625"/>
                  <wp:effectExtent b="0" l="0" r="0" t="0"/>
                  <wp:docPr id="187600967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Compara las fracciones usando &gt;, &lt; o =.</w:t>
      </w:r>
    </w:p>
    <w:p w:rsidR="00000000" w:rsidDel="00000000" w:rsidP="00000000" w:rsidRDefault="00000000" w:rsidRPr="00000000" w14:paraId="0000009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215900</wp:posOffset>
                </wp:positionV>
                <wp:extent cx="390525" cy="400050"/>
                <wp:effectExtent b="0" l="0" r="0" t="0"/>
                <wp:wrapNone/>
                <wp:docPr id="1876009667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215900</wp:posOffset>
                </wp:positionV>
                <wp:extent cx="390525" cy="400050"/>
                <wp:effectExtent b="0" l="0" r="0" t="0"/>
                <wp:wrapNone/>
                <wp:docPr id="187600966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         </m:t>
        </m:r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b)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          </m:t>
        </m:r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390525" cy="400050"/>
                <wp:effectExtent b="0" l="0" r="0" t="0"/>
                <wp:wrapNone/>
                <wp:docPr id="18760096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390525" cy="400050"/>
                <wp:effectExtent b="0" l="0" r="0" t="0"/>
                <wp:wrapNone/>
                <wp:docPr id="187600965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6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9"/>
        <w:gridCol w:w="6384"/>
        <w:tblGridChange w:id="0">
          <w:tblGrid>
            <w:gridCol w:w="2779"/>
            <w:gridCol w:w="638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fracciones de igual denominador.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&gt;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&lt;</w:t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 ha leído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un libro y Gaspar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mismo libro.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¿Quién ha leído más?</w:t>
      </w:r>
    </w:p>
    <w:p w:rsidR="00000000" w:rsidDel="00000000" w:rsidP="00000000" w:rsidRDefault="00000000" w:rsidRPr="00000000" w14:paraId="000000B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9"/>
        <w:gridCol w:w="6175"/>
        <w:tblGridChange w:id="0">
          <w:tblGrid>
            <w:gridCol w:w="2689"/>
            <w:gridCol w:w="617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involucren la comparación de fracciones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) de igual denominador.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 ha leído más que Gaspar.</w:t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Sofía y Andrés comen cada uno una pizza del mismo tamaño.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Sofía comió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su pizza y Andrés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¿quién comió más pizza?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33475" cy="1181100"/>
            <wp:effectExtent b="0" l="0" r="0" t="0"/>
            <wp:docPr id="187600967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3"/>
        <w:gridCol w:w="6301"/>
        <w:tblGridChange w:id="0">
          <w:tblGrid>
            <w:gridCol w:w="2743"/>
            <w:gridCol w:w="630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involucren la comparación de fracciones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) de igual denominador.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Sofía comió más de su pizza.</w:t>
            </w:r>
          </w:p>
        </w:tc>
      </w:tr>
    </w:tbl>
    <w:p w:rsidR="00000000" w:rsidDel="00000000" w:rsidP="00000000" w:rsidRDefault="00000000" w:rsidRPr="00000000" w14:paraId="000000E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Escribe la fracción representada en las porciones pintadas.</w:t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1092200"/>
            <wp:effectExtent b="0" l="0" r="0" t="0"/>
            <wp:docPr id="187600967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Relacionan la representación simbólica y la representación pictórica de fracciones de uso común.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Compara las siguientes fracciones usando &gt; o &lt;.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Después, represéntalas.</w:t>
      </w:r>
    </w:p>
    <w:p w:rsidR="00000000" w:rsidDel="00000000" w:rsidP="00000000" w:rsidRDefault="00000000" w:rsidRPr="00000000" w14:paraId="000001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4678"/>
        </w:tabs>
        <w:ind w:firstLine="36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485900" cy="2695575"/>
            <wp:effectExtent b="0" l="0" r="0" t="0"/>
            <wp:docPr id="187600968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 b="0" l="0" r="692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504950" cy="2695575"/>
            <wp:effectExtent b="0" l="0" r="0" t="0"/>
            <wp:docPr id="187600967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 b="0" l="34319" r="3451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Comparación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Comparan fracciones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Resolver problemas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&lt;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&lt;</w:t>
            </w:r>
          </w:p>
        </w:tc>
      </w:tr>
    </w:tbl>
    <w:p w:rsidR="00000000" w:rsidDel="00000000" w:rsidP="00000000" w:rsidRDefault="00000000" w:rsidRPr="00000000" w14:paraId="000001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Une con una línea la fracción con su representación.</w:t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063838" cy="2363305"/>
            <wp:effectExtent b="0" l="0" r="0" t="0"/>
            <wp:docPr id="187600968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3838" cy="2363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Relacionan la representación simbólica y la representación pictórica de fracciones de uso común.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60030" cy="2142471"/>
                  <wp:effectExtent b="0" l="0" r="0" t="0"/>
                  <wp:docPr id="187600968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0030" cy="21424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headerReference r:id="rId29" w:type="default"/>
      <w:footerReference r:id="rId30" w:type="default"/>
      <w:pgSz w:h="16834" w:w="11909" w:orient="portrait"/>
      <w:pgMar w:bottom="56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-158160</wp:posOffset>
          </wp:positionV>
          <wp:extent cx="7567613" cy="822567"/>
          <wp:effectExtent b="0" l="0" r="0" t="0"/>
          <wp:wrapNone/>
          <wp:docPr id="187600966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-6185</wp:posOffset>
          </wp:positionH>
          <wp:positionV relativeFrom="page">
            <wp:posOffset>-9523</wp:posOffset>
          </wp:positionV>
          <wp:extent cx="7572375" cy="792458"/>
          <wp:effectExtent b="0" l="0" r="0" t="0"/>
          <wp:wrapNone/>
          <wp:docPr id="1876009670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986463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B5341A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24.png"/><Relationship Id="rId21" Type="http://schemas.openxmlformats.org/officeDocument/2006/relationships/image" Target="media/image2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21.png"/><Relationship Id="rId25" Type="http://schemas.openxmlformats.org/officeDocument/2006/relationships/image" Target="media/image12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5.png"/><Relationship Id="rId8" Type="http://schemas.openxmlformats.org/officeDocument/2006/relationships/image" Target="media/image15.png"/><Relationship Id="rId3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17.png"/><Relationship Id="rId13" Type="http://schemas.openxmlformats.org/officeDocument/2006/relationships/image" Target="media/image16.png"/><Relationship Id="rId12" Type="http://schemas.openxmlformats.org/officeDocument/2006/relationships/image" Target="media/image1.png"/><Relationship Id="rId15" Type="http://schemas.openxmlformats.org/officeDocument/2006/relationships/image" Target="media/image18.png"/><Relationship Id="rId14" Type="http://schemas.openxmlformats.org/officeDocument/2006/relationships/image" Target="media/image19.png"/><Relationship Id="rId17" Type="http://schemas.openxmlformats.org/officeDocument/2006/relationships/image" Target="media/image3.png"/><Relationship Id="rId16" Type="http://schemas.openxmlformats.org/officeDocument/2006/relationships/image" Target="media/image22.png"/><Relationship Id="rId19" Type="http://schemas.openxmlformats.org/officeDocument/2006/relationships/image" Target="media/image23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HdNEVCHYdVcp92Sj4bATSClyQ==">CgMxLjA4AHIhMW5WYzNQcmxYQjVsaXFwWDYzTzBNUDQ5WmR3MXRrWGxC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2024-04-09T19:20:00Z</dcterms:created>
  <dc:creator>Macarena Ovalle Larrain</dc:creator>
</cp:coreProperties>
</file>