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Estructura General Disponibilización (Unidad 4 - PYE)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Unidad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Temas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Contenidos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Recursos</w:t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rtl w:val="0"/>
              </w:rPr>
              <w:t xml:space="preserve">Unidad 4</w:t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Intervalos de Confianza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18"/>
                <w:szCs w:val="18"/>
                <w:rtl w:val="0"/>
              </w:rPr>
              <w:t xml:space="preserve">Estadísticos y Estimadores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18"/>
                <w:szCs w:val="18"/>
                <w:rtl w:val="0"/>
              </w:rPr>
              <w:t xml:space="preserve">Intervalos de Confianza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Pruebas de Hipótesis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18"/>
                <w:szCs w:val="18"/>
                <w:rtl w:val="0"/>
              </w:rPr>
              <w:t xml:space="preserve">Pruebas de Hipótesis</w:t>
            </w:r>
          </w:p>
        </w:tc>
        <w:tc>
          <w:tcPr>
            <w:vMerge w:val="restart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18"/>
                <w:szCs w:val="18"/>
                <w:rtl w:val="0"/>
              </w:rPr>
              <w:t xml:space="preserve">Tipos de Errores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firstLine="0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.1732283464567" w:hRule="atLeast"/>
          <w:tblHeader w:val="0"/>
        </w:trPr>
        <w:tc>
          <w:tcPr>
            <w:vMerge w:val="continue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sz w:val="20"/>
                <w:szCs w:val="20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20"/>
                <w:szCs w:val="20"/>
                <w:rtl w:val="0"/>
              </w:rPr>
              <w:t xml:space="preserve">Ciclo de investigación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firstLine="0"/>
              <w:jc w:val="center"/>
              <w:rPr>
                <w:rFonts w:ascii="Nunito Medium" w:cs="Nunito Medium" w:eastAsia="Nunito Medium" w:hAnsi="Nunito Medium"/>
                <w:sz w:val="18"/>
                <w:szCs w:val="18"/>
              </w:rPr>
            </w:pPr>
            <w:r w:rsidDel="00000000" w:rsidR="00000000" w:rsidRPr="00000000">
              <w:rPr>
                <w:rFonts w:ascii="Nunito Medium" w:cs="Nunito Medium" w:eastAsia="Nunito Medium" w:hAnsi="Nunito Medium"/>
                <w:sz w:val="18"/>
                <w:szCs w:val="18"/>
                <w:rtl w:val="0"/>
              </w:rPr>
              <w:t xml:space="preserve">Ciclo de Investigación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Nunito Medium" w:cs="Nunito Medium" w:eastAsia="Nunito Medium" w:hAnsi="Nunito Medium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Probabilidades y Estadísticas Descriptiva e Inferencial</w:t>
    </w:r>
  </w:p>
  <w:p w:rsidR="00000000" w:rsidDel="00000000" w:rsidP="00000000" w:rsidRDefault="00000000" w:rsidRPr="00000000" w14:paraId="0000002C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Nivel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: 3° y 4° medio</w:t>
    </w:r>
  </w:p>
  <w:p w:rsidR="00000000" w:rsidDel="00000000" w:rsidP="00000000" w:rsidRDefault="00000000" w:rsidRPr="00000000" w14:paraId="0000002D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sz w:val="20"/>
        <w:szCs w:val="20"/>
        <w:rtl w:val="0"/>
      </w:rPr>
      <w:t xml:space="preserve">Unidad 4: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 </w:t>
    </w:r>
    <w:r w:rsidDel="00000000" w:rsidR="00000000" w:rsidRPr="00000000">
      <w:rPr>
        <w:rFonts w:ascii="Nunito Medium" w:cs="Nunito Medium" w:eastAsia="Nunito Medium" w:hAnsi="Nunito Medium"/>
        <w:sz w:val="20"/>
        <w:szCs w:val="20"/>
        <w:rtl w:val="0"/>
      </w:rPr>
      <w:t xml:space="preserve">Inferencia Estadística</w:t>
    </w:r>
  </w:p>
  <w:p w:rsidR="00000000" w:rsidDel="00000000" w:rsidP="00000000" w:rsidRDefault="00000000" w:rsidRPr="00000000" w14:paraId="0000002E">
    <w:pPr>
      <w:ind w:left="0" w:firstLine="0"/>
      <w:jc w:val="both"/>
      <w:rPr>
        <w:rFonts w:ascii="Nunito Medium" w:cs="Nunito Medium" w:eastAsia="Nunito Medium" w:hAnsi="Nunito Medium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