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rFonts w:ascii="Gill Sans" w:cs="Gill Sans" w:eastAsia="Gill Sans" w:hAnsi="Gill Sans"/>
          <w:color w:val="3b3838"/>
          <w:sz w:val="96"/>
          <w:szCs w:val="96"/>
        </w:rPr>
      </w:pPr>
      <w:r w:rsidDel="00000000" w:rsidR="00000000" w:rsidRPr="00000000">
        <w:rPr>
          <w:rFonts w:ascii="Gill Sans" w:cs="Gill Sans" w:eastAsia="Gill Sans" w:hAnsi="Gill Sans"/>
          <w:color w:val="3b3838"/>
          <w:sz w:val="96"/>
          <w:szCs w:val="96"/>
        </w:rPr>
        <w:drawing>
          <wp:anchor allowOverlap="1" behindDoc="0" distB="0" distT="0" distL="114300" distR="114300" hidden="0" layoutInCell="1" locked="0" relativeHeight="0" simplePos="0">
            <wp:simplePos x="0" y="0"/>
            <wp:positionH relativeFrom="page">
              <wp:posOffset>-20470</wp:posOffset>
            </wp:positionH>
            <wp:positionV relativeFrom="page">
              <wp:posOffset>-28569</wp:posOffset>
            </wp:positionV>
            <wp:extent cx="7824979" cy="1249689"/>
            <wp:effectExtent b="0" l="0" r="0" t="0"/>
            <wp:wrapSquare wrapText="bothSides" distB="0" distT="0" distL="114300" distR="114300"/>
            <wp:docPr descr="Graphical user interface, application&#10;&#10;Description automatically generated" id="40" name="image7.jpg"/>
            <a:graphic>
              <a:graphicData uri="http://schemas.openxmlformats.org/drawingml/2006/picture">
                <pic:pic>
                  <pic:nvPicPr>
                    <pic:cNvPr descr="Graphical user interface, application&#10;&#10;Description automatically generated" id="0" name="image7.jpg"/>
                    <pic:cNvPicPr preferRelativeResize="0"/>
                  </pic:nvPicPr>
                  <pic:blipFill>
                    <a:blip r:embed="rId7"/>
                    <a:srcRect b="0" l="0" r="0" t="0"/>
                    <a:stretch>
                      <a:fillRect/>
                    </a:stretch>
                  </pic:blipFill>
                  <pic:spPr>
                    <a:xfrm>
                      <a:off x="0" y="0"/>
                      <a:ext cx="7824979" cy="1249689"/>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160" w:line="259" w:lineRule="auto"/>
        <w:jc w:val="center"/>
        <w:rPr>
          <w:rFonts w:ascii="Gill Sans" w:cs="Gill Sans" w:eastAsia="Gill Sans" w:hAnsi="Gill Sans"/>
          <w:color w:val="3b3838"/>
          <w:sz w:val="96"/>
          <w:szCs w:val="96"/>
        </w:rPr>
      </w:pPr>
      <w:r w:rsidDel="00000000" w:rsidR="00000000" w:rsidRPr="00000000">
        <w:rPr>
          <w:rtl w:val="0"/>
        </w:rPr>
      </w:r>
    </w:p>
    <w:p w:rsidR="00000000" w:rsidDel="00000000" w:rsidP="00000000" w:rsidRDefault="00000000" w:rsidRPr="00000000" w14:paraId="00000003">
      <w:pPr>
        <w:spacing w:after="160" w:line="259" w:lineRule="auto"/>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4">
      <w:pPr>
        <w:spacing w:after="160" w:line="259" w:lineRule="auto"/>
        <w:jc w:val="center"/>
        <w:rPr>
          <w:rFonts w:ascii="Nunito" w:cs="Nunito" w:eastAsia="Nunito" w:hAnsi="Nunito"/>
          <w:color w:val="3b3838"/>
          <w:sz w:val="96"/>
          <w:szCs w:val="96"/>
        </w:rPr>
      </w:pPr>
      <w:r w:rsidDel="00000000" w:rsidR="00000000" w:rsidRPr="00000000">
        <w:rPr>
          <w:rFonts w:ascii="Nunito" w:cs="Nunito" w:eastAsia="Nunito" w:hAnsi="Nunito"/>
          <w:color w:val="3b3838"/>
          <w:sz w:val="96"/>
          <w:szCs w:val="96"/>
          <w:rtl w:val="0"/>
        </w:rPr>
        <w:t xml:space="preserve">Apuntes Unidad 2</w:t>
      </w:r>
    </w:p>
    <w:p w:rsidR="00000000" w:rsidDel="00000000" w:rsidP="00000000" w:rsidRDefault="00000000" w:rsidRPr="00000000" w14:paraId="00000005">
      <w:pPr>
        <w:spacing w:after="160" w:line="259" w:lineRule="auto"/>
        <w:jc w:val="center"/>
        <w:rPr>
          <w:rFonts w:ascii="Nunito" w:cs="Nunito" w:eastAsia="Nunito" w:hAnsi="Nunito"/>
          <w:color w:val="3b3838"/>
          <w:sz w:val="44"/>
          <w:szCs w:val="44"/>
        </w:rPr>
      </w:pPr>
      <w:r w:rsidDel="00000000" w:rsidR="00000000" w:rsidRPr="00000000">
        <w:rPr>
          <w:rFonts w:ascii="Nunito" w:cs="Nunito" w:eastAsia="Nunito" w:hAnsi="Nunito"/>
          <w:color w:val="3b3838"/>
          <w:sz w:val="44"/>
          <w:szCs w:val="44"/>
          <w:rtl w:val="0"/>
        </w:rPr>
        <w:t xml:space="preserve">Análisis de gráficos de dispersión con tendencia lineal</w:t>
      </w:r>
    </w:p>
    <w:p w:rsidR="00000000" w:rsidDel="00000000" w:rsidP="00000000" w:rsidRDefault="00000000" w:rsidRPr="00000000" w14:paraId="00000006">
      <w:pPr>
        <w:spacing w:after="160" w:line="259" w:lineRule="auto"/>
        <w:jc w:val="center"/>
        <w:rPr>
          <w:rFonts w:ascii="Nunito" w:cs="Nunito" w:eastAsia="Nunito" w:hAnsi="Nunito"/>
        </w:rPr>
      </w:pPr>
      <w:r w:rsidDel="00000000" w:rsidR="00000000" w:rsidRPr="00000000">
        <w:rPr>
          <w:rFonts w:ascii="Nunito" w:cs="Nunito" w:eastAsia="Nunito" w:hAnsi="Nunito"/>
        </w:rPr>
        <mc:AlternateContent>
          <mc:Choice Requires="wpg">
            <w:drawing>
              <wp:inline distB="114300" distT="114300" distL="114300" distR="114300">
                <wp:extent cx="3757613" cy="233719"/>
                <wp:effectExtent b="0" l="0" r="0" t="0"/>
                <wp:docPr id="34" name=""/>
                <a:graphic>
                  <a:graphicData uri="http://schemas.microsoft.com/office/word/2010/wordprocessingShape">
                    <wps:wsp>
                      <wps:cNvCnPr/>
                      <wps:spPr>
                        <a:xfrm flipH="1" rot="10800000">
                          <a:off x="4721550" y="3775050"/>
                          <a:ext cx="1248900" cy="9900"/>
                        </a:xfrm>
                        <a:prstGeom prst="straightConnector1">
                          <a:avLst/>
                        </a:prstGeom>
                        <a:noFill/>
                        <a:ln cap="flat" cmpd="sng" w="38100">
                          <a:solidFill>
                            <a:srgbClr val="999999"/>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3757613" cy="233719"/>
                <wp:effectExtent b="0" l="0" r="0" t="0"/>
                <wp:docPr id="34"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3757613" cy="23371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7">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8">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9">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A">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B">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C">
      <w:pPr>
        <w:spacing w:after="160" w:line="259" w:lineRule="auto"/>
        <w:jc w:val="center"/>
        <w:rPr>
          <w:rFonts w:ascii="Nunito" w:cs="Nunito" w:eastAsia="Nunito" w:hAnsi="Nunito"/>
          <w:color w:val="3b3838"/>
          <w:sz w:val="56"/>
          <w:szCs w:val="56"/>
        </w:rPr>
      </w:pP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page">
              <wp:posOffset>-10945</wp:posOffset>
            </wp:positionH>
            <wp:positionV relativeFrom="page">
              <wp:posOffset>9529665</wp:posOffset>
            </wp:positionV>
            <wp:extent cx="7578563" cy="1316376"/>
            <wp:effectExtent b="0" l="0" r="0" t="0"/>
            <wp:wrapSquare wrapText="bothSides" distB="0" distT="0" distL="114300" distR="114300"/>
            <wp:docPr descr="Shape, arrow&#10;&#10;Description automatically generated" id="42" name="image6.jpg"/>
            <a:graphic>
              <a:graphicData uri="http://schemas.openxmlformats.org/drawingml/2006/picture">
                <pic:pic>
                  <pic:nvPicPr>
                    <pic:cNvPr descr="Shape, arrow&#10;&#10;Description automatically generated" id="0" name="image6.jpg"/>
                    <pic:cNvPicPr preferRelativeResize="0"/>
                  </pic:nvPicPr>
                  <pic:blipFill>
                    <a:blip r:embed="rId9"/>
                    <a:srcRect b="0" l="0" r="0" t="0"/>
                    <a:stretch>
                      <a:fillRect/>
                    </a:stretch>
                  </pic:blipFill>
                  <pic:spPr>
                    <a:xfrm>
                      <a:off x="0" y="0"/>
                      <a:ext cx="7578563" cy="1316376"/>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0D">
      <w:pPr>
        <w:rPr>
          <w:b w:val="1"/>
          <w:color w:val="343434"/>
          <w:highlight w:val="white"/>
          <w:u w:val="singl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0F">
      <w:pPr>
        <w:widowControl w:val="0"/>
        <w:spacing w:line="276" w:lineRule="auto"/>
        <w:jc w:val="both"/>
        <w:rPr>
          <w:color w:val="434343"/>
        </w:rPr>
      </w:pPr>
      <w:r w:rsidDel="00000000" w:rsidR="00000000" w:rsidRPr="00000000">
        <w:rPr>
          <w:color w:val="434343"/>
          <w:rtl w:val="0"/>
        </w:rPr>
        <w:t xml:space="preserve">Los gráficos de dispersión son útiles para estudiar la relación entre dos variables cuantitativas. En algunos casos, estas variables pueden seguir una tendencia lineal, la cual se presenta si al representarlas en un gráfico de dispersión, sus puntos en torno a una recta.</w:t>
      </w:r>
    </w:p>
    <w:p w:rsidR="00000000" w:rsidDel="00000000" w:rsidP="00000000" w:rsidRDefault="00000000" w:rsidRPr="00000000" w14:paraId="00000010">
      <w:pPr>
        <w:widowControl w:val="0"/>
        <w:spacing w:line="276" w:lineRule="auto"/>
        <w:jc w:val="both"/>
        <w:rPr>
          <w:color w:val="434343"/>
        </w:rPr>
      </w:pPr>
      <w:r w:rsidDel="00000000" w:rsidR="00000000" w:rsidRPr="00000000">
        <w:rPr>
          <w:rtl w:val="0"/>
        </w:rPr>
      </w:r>
    </w:p>
    <w:p w:rsidR="00000000" w:rsidDel="00000000" w:rsidP="00000000" w:rsidRDefault="00000000" w:rsidRPr="00000000" w14:paraId="00000011">
      <w:pPr>
        <w:widowControl w:val="0"/>
        <w:spacing w:line="276" w:lineRule="auto"/>
        <w:jc w:val="both"/>
        <w:rPr>
          <w:color w:val="434343"/>
        </w:rPr>
      </w:pPr>
      <w:r w:rsidDel="00000000" w:rsidR="00000000" w:rsidRPr="00000000">
        <w:rPr>
          <w:color w:val="434343"/>
          <w:rtl w:val="0"/>
        </w:rPr>
        <w:t xml:space="preserve">Además, consideremos que, al multiplicar dos números reales </w:t>
      </w:r>
      <m:oMath>
        <m:r>
          <w:rPr>
            <w:color w:val="434343"/>
          </w:rPr>
          <m:t xml:space="preserve">a</m:t>
        </m:r>
      </m:oMath>
      <w:r w:rsidDel="00000000" w:rsidR="00000000" w:rsidRPr="00000000">
        <w:rPr>
          <w:color w:val="434343"/>
          <w:rtl w:val="0"/>
        </w:rPr>
        <w:t xml:space="preserve"> y </w:t>
      </w:r>
      <m:oMath>
        <m:r>
          <w:rPr>
            <w:color w:val="434343"/>
          </w:rPr>
          <m:t xml:space="preserve">b</m:t>
        </m:r>
      </m:oMath>
      <w:r w:rsidDel="00000000" w:rsidR="00000000" w:rsidRPr="00000000">
        <w:rPr>
          <w:color w:val="434343"/>
          <w:rtl w:val="0"/>
        </w:rPr>
        <w:t xml:space="preserve"> se tiene que el producto </w:t>
      </w:r>
      <m:oMath>
        <m:r>
          <w:rPr>
            <w:color w:val="434343"/>
          </w:rPr>
          <m:t xml:space="preserve">a</m:t>
        </m:r>
        <m:r>
          <w:rPr>
            <w:color w:val="434343"/>
          </w:rPr>
          <m:t>⋅</m:t>
        </m:r>
        <m:r>
          <w:rPr>
            <w:color w:val="434343"/>
          </w:rPr>
          <m:t xml:space="preserve">b</m:t>
        </m:r>
      </m:oMath>
      <w:r w:rsidDel="00000000" w:rsidR="00000000" w:rsidRPr="00000000">
        <w:rPr>
          <w:color w:val="434343"/>
          <w:rtl w:val="0"/>
        </w:rPr>
        <w:t xml:space="preserve"> es:</w:t>
      </w:r>
    </w:p>
    <w:p w:rsidR="00000000" w:rsidDel="00000000" w:rsidP="00000000" w:rsidRDefault="00000000" w:rsidRPr="00000000" w14:paraId="00000012">
      <w:pPr>
        <w:widowControl w:val="0"/>
        <w:spacing w:line="276" w:lineRule="auto"/>
        <w:jc w:val="both"/>
        <w:rPr>
          <w:color w:val="434343"/>
        </w:rPr>
      </w:pPr>
      <w:r w:rsidDel="00000000" w:rsidR="00000000" w:rsidRPr="00000000">
        <w:rPr>
          <w:rtl w:val="0"/>
        </w:rPr>
      </w:r>
    </w:p>
    <w:p w:rsidR="00000000" w:rsidDel="00000000" w:rsidP="00000000" w:rsidRDefault="00000000" w:rsidRPr="00000000" w14:paraId="00000013">
      <w:pPr>
        <w:numPr>
          <w:ilvl w:val="0"/>
          <w:numId w:val="1"/>
        </w:numPr>
        <w:spacing w:after="200" w:line="276" w:lineRule="auto"/>
        <w:ind w:left="720" w:hanging="360"/>
        <w:jc w:val="both"/>
        <w:rPr>
          <w:color w:val="434343"/>
        </w:rPr>
      </w:pPr>
      <w:r w:rsidDel="00000000" w:rsidR="00000000" w:rsidRPr="00000000">
        <w:rPr>
          <w:b w:val="1"/>
          <w:color w:val="434343"/>
          <w:rtl w:val="0"/>
        </w:rPr>
        <w:t xml:space="preserve">positivo</w:t>
      </w:r>
      <w:r w:rsidDel="00000000" w:rsidR="00000000" w:rsidRPr="00000000">
        <w:rPr>
          <w:color w:val="434343"/>
          <w:rtl w:val="0"/>
        </w:rPr>
        <w:t xml:space="preserve"> si es que ambos números son positivos o bien ambos son negativos.</w:t>
      </w:r>
    </w:p>
    <w:p w:rsidR="00000000" w:rsidDel="00000000" w:rsidP="00000000" w:rsidRDefault="00000000" w:rsidRPr="00000000" w14:paraId="00000014">
      <w:pPr>
        <w:numPr>
          <w:ilvl w:val="0"/>
          <w:numId w:val="1"/>
        </w:numPr>
        <w:spacing w:after="200" w:line="276" w:lineRule="auto"/>
        <w:ind w:left="720" w:hanging="360"/>
        <w:jc w:val="both"/>
        <w:rPr>
          <w:color w:val="434343"/>
        </w:rPr>
      </w:pPr>
      <w:r w:rsidDel="00000000" w:rsidR="00000000" w:rsidRPr="00000000">
        <w:rPr>
          <w:b w:val="1"/>
          <w:color w:val="434343"/>
          <w:rtl w:val="0"/>
        </w:rPr>
        <w:t xml:space="preserve">negativo </w:t>
      </w:r>
      <w:r w:rsidDel="00000000" w:rsidR="00000000" w:rsidRPr="00000000">
        <w:rPr>
          <w:color w:val="434343"/>
          <w:rtl w:val="0"/>
        </w:rPr>
        <w:t xml:space="preserve">si es que los números tienen distinto signo. </w:t>
      </w:r>
    </w:p>
    <w:p w:rsidR="00000000" w:rsidDel="00000000" w:rsidP="00000000" w:rsidRDefault="00000000" w:rsidRPr="00000000" w14:paraId="00000015">
      <w:pPr>
        <w:spacing w:after="200" w:line="276" w:lineRule="auto"/>
        <w:jc w:val="both"/>
        <w:rPr>
          <w:color w:val="434343"/>
        </w:rPr>
      </w:pPr>
      <w:r w:rsidDel="00000000" w:rsidR="00000000" w:rsidRPr="00000000">
        <w:rPr>
          <w:color w:val="434343"/>
          <w:rtl w:val="0"/>
        </w:rPr>
        <w:t xml:space="preserve">Ahora, apliquemos todo esto en una nueva idea, con el fin de continuar profundizando en tendencias lineales.</w:t>
      </w:r>
    </w:p>
    <w:p w:rsidR="00000000" w:rsidDel="00000000" w:rsidP="00000000" w:rsidRDefault="00000000" w:rsidRPr="00000000" w14:paraId="00000016">
      <w:pPr>
        <w:spacing w:after="200" w:line="276" w:lineRule="auto"/>
        <w:jc w:val="both"/>
        <w:rPr>
          <w:b w:val="1"/>
          <w:color w:val="434343"/>
        </w:rPr>
      </w:pPr>
      <w:r w:rsidDel="00000000" w:rsidR="00000000" w:rsidRPr="00000000">
        <w:rPr>
          <w:b w:val="1"/>
          <w:color w:val="434343"/>
          <w:rtl w:val="0"/>
        </w:rPr>
        <w:t xml:space="preserve">EXPLORANDO RELACIONES EN DISTRIBUCIONES CON TENDENCIA LINEAL</w:t>
      </w:r>
    </w:p>
    <w:p w:rsidR="00000000" w:rsidDel="00000000" w:rsidP="00000000" w:rsidRDefault="00000000" w:rsidRPr="00000000" w14:paraId="00000017">
      <w:pPr>
        <w:widowControl w:val="0"/>
        <w:spacing w:line="276" w:lineRule="auto"/>
        <w:jc w:val="both"/>
        <w:rPr>
          <w:color w:val="434343"/>
        </w:rPr>
      </w:pPr>
      <w:r w:rsidDel="00000000" w:rsidR="00000000" w:rsidRPr="00000000">
        <w:rPr>
          <w:color w:val="434343"/>
          <w:rtl w:val="0"/>
        </w:rPr>
        <w:t xml:space="preserve">Consideremos dos variables, x e y, representadas en un gráfico de dispersión donde las rectas vertical y horizontal, corresponden a las medias muestrales de cada variable, lo que divide el gráfico en cuatro cuadrantes.</w:t>
      </w:r>
    </w:p>
    <w:p w:rsidR="00000000" w:rsidDel="00000000" w:rsidP="00000000" w:rsidRDefault="00000000" w:rsidRPr="00000000" w14:paraId="00000018">
      <w:pPr>
        <w:widowControl w:val="0"/>
        <w:spacing w:line="240" w:lineRule="auto"/>
        <w:jc w:val="both"/>
        <w:rPr>
          <w:color w:val="43434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4076700</wp:posOffset>
            </wp:positionH>
            <wp:positionV relativeFrom="paragraph">
              <wp:posOffset>209550</wp:posOffset>
            </wp:positionV>
            <wp:extent cx="2318518" cy="1819275"/>
            <wp:effectExtent b="0" l="0" r="0" t="0"/>
            <wp:wrapSquare wrapText="bothSides" distB="114300" distT="114300" distL="114300" distR="114300"/>
            <wp:docPr id="36"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318518" cy="18192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-323849</wp:posOffset>
            </wp:positionH>
            <wp:positionV relativeFrom="paragraph">
              <wp:posOffset>209550</wp:posOffset>
            </wp:positionV>
            <wp:extent cx="2357438" cy="1818595"/>
            <wp:effectExtent b="0" l="0" r="0" t="0"/>
            <wp:wrapSquare wrapText="bothSides" distB="114300" distT="114300" distL="114300" distR="114300"/>
            <wp:docPr id="47"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2357438" cy="1818595"/>
                    </a:xfrm>
                    <a:prstGeom prst="rect"/>
                    <a:ln/>
                  </pic:spPr>
                </pic:pic>
              </a:graphicData>
            </a:graphic>
          </wp:anchor>
        </w:drawing>
      </w:r>
    </w:p>
    <w:p w:rsidR="00000000" w:rsidDel="00000000" w:rsidP="00000000" w:rsidRDefault="00000000" w:rsidRPr="00000000" w14:paraId="00000019">
      <w:pPr>
        <w:widowControl w:val="0"/>
        <w:spacing w:line="240" w:lineRule="auto"/>
        <w:rPr>
          <w:color w:val="434343"/>
        </w:rPr>
      </w:pPr>
      <w:r w:rsidDel="00000000" w:rsidR="00000000" w:rsidRPr="00000000">
        <w:rPr>
          <w:rtl w:val="0"/>
        </w:rPr>
      </w:r>
    </w:p>
    <w:p w:rsidR="00000000" w:rsidDel="00000000" w:rsidP="00000000" w:rsidRDefault="00000000" w:rsidRPr="00000000" w14:paraId="0000001A">
      <w:pPr>
        <w:spacing w:after="200" w:line="276" w:lineRule="auto"/>
        <w:jc w:val="both"/>
        <w:rPr>
          <w:b w:val="1"/>
          <w:color w:val="434343"/>
        </w:rPr>
      </w:pPr>
      <w:r w:rsidDel="00000000" w:rsidR="00000000" w:rsidRPr="00000000">
        <w:rPr>
          <w:rtl w:val="0"/>
        </w:rPr>
      </w:r>
    </w:p>
    <w:p w:rsidR="00000000" w:rsidDel="00000000" w:rsidP="00000000" w:rsidRDefault="00000000" w:rsidRPr="00000000" w14:paraId="0000001B">
      <w:pPr>
        <w:spacing w:line="240" w:lineRule="auto"/>
        <w:rPr>
          <w:color w:val="434343"/>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2728913</wp:posOffset>
                </wp:positionH>
                <wp:positionV relativeFrom="paragraph">
                  <wp:posOffset>181367</wp:posOffset>
                </wp:positionV>
                <wp:extent cx="876300" cy="609600"/>
                <wp:effectExtent b="0" l="0" r="0" t="0"/>
                <wp:wrapSquare wrapText="bothSides" distB="114300" distT="114300" distL="114300" distR="114300"/>
                <wp:docPr id="35" name=""/>
                <a:graphic>
                  <a:graphicData uri="http://schemas.microsoft.com/office/word/2010/wordprocessingShape">
                    <wps:wsp>
                      <wps:cNvSpPr/>
                      <wps:cNvPr id="3" name="Shape 3"/>
                      <wps:spPr>
                        <a:xfrm>
                          <a:off x="2123500" y="1580350"/>
                          <a:ext cx="854100" cy="588900"/>
                        </a:xfrm>
                        <a:prstGeom prst="right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2728913</wp:posOffset>
                </wp:positionH>
                <wp:positionV relativeFrom="paragraph">
                  <wp:posOffset>181367</wp:posOffset>
                </wp:positionV>
                <wp:extent cx="876300" cy="609600"/>
                <wp:effectExtent b="0" l="0" r="0" t="0"/>
                <wp:wrapSquare wrapText="bothSides" distB="114300" distT="114300" distL="114300" distR="114300"/>
                <wp:docPr id="35"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876300" cy="609600"/>
                        </a:xfrm>
                        <a:prstGeom prst="rect"/>
                        <a:ln/>
                      </pic:spPr>
                    </pic:pic>
                  </a:graphicData>
                </a:graphic>
              </wp:anchor>
            </w:drawing>
          </mc:Fallback>
        </mc:AlternateContent>
      </w:r>
    </w:p>
    <w:p w:rsidR="00000000" w:rsidDel="00000000" w:rsidP="00000000" w:rsidRDefault="00000000" w:rsidRPr="00000000" w14:paraId="0000001C">
      <w:pPr>
        <w:spacing w:line="240" w:lineRule="auto"/>
        <w:rPr>
          <w:color w:val="434343"/>
        </w:rPr>
      </w:pPr>
      <w:r w:rsidDel="00000000" w:rsidR="00000000" w:rsidRPr="00000000">
        <w:rPr>
          <w:rtl w:val="0"/>
        </w:rPr>
      </w:r>
    </w:p>
    <w:p w:rsidR="00000000" w:rsidDel="00000000" w:rsidP="00000000" w:rsidRDefault="00000000" w:rsidRPr="00000000" w14:paraId="0000001D">
      <w:pPr>
        <w:spacing w:line="240" w:lineRule="auto"/>
        <w:rPr>
          <w:color w:val="434343"/>
        </w:rPr>
      </w:pPr>
      <w:r w:rsidDel="00000000" w:rsidR="00000000" w:rsidRPr="00000000">
        <w:rPr>
          <w:rtl w:val="0"/>
        </w:rPr>
      </w:r>
    </w:p>
    <w:p w:rsidR="00000000" w:rsidDel="00000000" w:rsidP="00000000" w:rsidRDefault="00000000" w:rsidRPr="00000000" w14:paraId="0000001E">
      <w:pPr>
        <w:spacing w:line="240" w:lineRule="auto"/>
        <w:rPr>
          <w:color w:val="434343"/>
        </w:rPr>
      </w:pPr>
      <w:r w:rsidDel="00000000" w:rsidR="00000000" w:rsidRPr="00000000">
        <w:rPr>
          <w:rtl w:val="0"/>
        </w:rPr>
      </w:r>
    </w:p>
    <w:p w:rsidR="00000000" w:rsidDel="00000000" w:rsidP="00000000" w:rsidRDefault="00000000" w:rsidRPr="00000000" w14:paraId="0000001F">
      <w:pPr>
        <w:spacing w:line="240" w:lineRule="auto"/>
        <w:rPr>
          <w:color w:val="434343"/>
        </w:rPr>
      </w:pPr>
      <w:r w:rsidDel="00000000" w:rsidR="00000000" w:rsidRPr="00000000">
        <w:rPr>
          <w:rtl w:val="0"/>
        </w:rPr>
      </w:r>
    </w:p>
    <w:p w:rsidR="00000000" w:rsidDel="00000000" w:rsidP="00000000" w:rsidRDefault="00000000" w:rsidRPr="00000000" w14:paraId="00000020">
      <w:pPr>
        <w:spacing w:line="240" w:lineRule="auto"/>
        <w:rPr>
          <w:color w:val="434343"/>
        </w:rPr>
      </w:pPr>
      <w:r w:rsidDel="00000000" w:rsidR="00000000" w:rsidRPr="00000000">
        <w:rPr>
          <w:rtl w:val="0"/>
        </w:rPr>
      </w:r>
    </w:p>
    <w:p w:rsidR="00000000" w:rsidDel="00000000" w:rsidP="00000000" w:rsidRDefault="00000000" w:rsidRPr="00000000" w14:paraId="00000021">
      <w:pPr>
        <w:spacing w:line="240" w:lineRule="auto"/>
        <w:rPr>
          <w:color w:val="434343"/>
        </w:rPr>
      </w:pPr>
      <w:r w:rsidDel="00000000" w:rsidR="00000000" w:rsidRPr="00000000">
        <w:rPr>
          <w:rtl w:val="0"/>
        </w:rPr>
      </w:r>
    </w:p>
    <w:p w:rsidR="00000000" w:rsidDel="00000000" w:rsidP="00000000" w:rsidRDefault="00000000" w:rsidRPr="00000000" w14:paraId="00000022">
      <w:pPr>
        <w:spacing w:line="240" w:lineRule="auto"/>
        <w:rPr>
          <w:color w:val="434343"/>
        </w:rPr>
      </w:pPr>
      <w:r w:rsidDel="00000000" w:rsidR="00000000" w:rsidRPr="00000000">
        <w:rPr>
          <w:rtl w:val="0"/>
        </w:rPr>
      </w:r>
    </w:p>
    <w:p w:rsidR="00000000" w:rsidDel="00000000" w:rsidP="00000000" w:rsidRDefault="00000000" w:rsidRPr="00000000" w14:paraId="00000023">
      <w:pPr>
        <w:spacing w:line="240" w:lineRule="auto"/>
        <w:rPr>
          <w:color w:val="434343"/>
        </w:rPr>
      </w:pPr>
      <w:r w:rsidDel="00000000" w:rsidR="00000000" w:rsidRPr="00000000">
        <w:rPr>
          <w:rtl w:val="0"/>
        </w:rPr>
      </w:r>
    </w:p>
    <w:p w:rsidR="00000000" w:rsidDel="00000000" w:rsidP="00000000" w:rsidRDefault="00000000" w:rsidRPr="00000000" w14:paraId="00000024">
      <w:pPr>
        <w:spacing w:line="240" w:lineRule="auto"/>
        <w:rPr>
          <w:color w:val="434343"/>
        </w:rPr>
      </w:pPr>
      <w:r w:rsidDel="00000000" w:rsidR="00000000" w:rsidRPr="00000000">
        <w:rPr>
          <w:rtl w:val="0"/>
        </w:rPr>
      </w:r>
    </w:p>
    <w:p w:rsidR="00000000" w:rsidDel="00000000" w:rsidP="00000000" w:rsidRDefault="00000000" w:rsidRPr="00000000" w14:paraId="00000025">
      <w:pPr>
        <w:spacing w:line="240" w:lineRule="auto"/>
        <w:rPr>
          <w:color w:val="434343"/>
        </w:rPr>
      </w:pPr>
      <w:r w:rsidDel="00000000" w:rsidR="00000000" w:rsidRPr="00000000">
        <w:rPr>
          <w:rtl w:val="0"/>
        </w:rPr>
      </w:r>
    </w:p>
    <w:p w:rsidR="00000000" w:rsidDel="00000000" w:rsidP="00000000" w:rsidRDefault="00000000" w:rsidRPr="00000000" w14:paraId="00000026">
      <w:pPr>
        <w:widowControl w:val="0"/>
        <w:spacing w:line="276" w:lineRule="auto"/>
        <w:jc w:val="both"/>
        <w:rPr>
          <w:color w:val="434343"/>
        </w:rPr>
      </w:pPr>
      <w:r w:rsidDel="00000000" w:rsidR="00000000" w:rsidRPr="00000000">
        <w:rPr>
          <w:color w:val="434343"/>
          <w:rtl w:val="0"/>
        </w:rPr>
        <w:t xml:space="preserve">Según el cuadrante en que esté un punto, la diferencia entre cada coordenada con su respectivo promedio será positiva o negativa. Esto último se puede observar en la siguiente tabla.</w:t>
      </w:r>
    </w:p>
    <w:p w:rsidR="00000000" w:rsidDel="00000000" w:rsidP="00000000" w:rsidRDefault="00000000" w:rsidRPr="00000000" w14:paraId="00000027">
      <w:pPr>
        <w:widowControl w:val="0"/>
        <w:spacing w:line="276" w:lineRule="auto"/>
        <w:jc w:val="both"/>
        <w:rPr>
          <w:color w:val="434343"/>
        </w:rPr>
      </w:pPr>
      <w:r w:rsidDel="00000000" w:rsidR="00000000" w:rsidRPr="00000000">
        <w:rPr>
          <w:rtl w:val="0"/>
        </w:rPr>
      </w:r>
    </w:p>
    <w:p w:rsidR="00000000" w:rsidDel="00000000" w:rsidP="00000000" w:rsidRDefault="00000000" w:rsidRPr="00000000" w14:paraId="00000028">
      <w:pPr>
        <w:spacing w:line="240" w:lineRule="auto"/>
        <w:rPr>
          <w:b w:val="1"/>
          <w:color w:val="434343"/>
        </w:rPr>
      </w:pPr>
      <w:r w:rsidDel="00000000" w:rsidR="00000000" w:rsidRPr="00000000">
        <w:rPr>
          <w:rtl w:val="0"/>
        </w:rPr>
      </w:r>
    </w:p>
    <w:tbl>
      <w:tblPr>
        <w:tblStyle w:val="Table1"/>
        <w:tblW w:w="9135.0" w:type="dxa"/>
        <w:jc w:val="left"/>
        <w:tblInd w:w="6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0"/>
        <w:gridCol w:w="3555"/>
        <w:gridCol w:w="3360"/>
        <w:tblGridChange w:id="0">
          <w:tblGrid>
            <w:gridCol w:w="2220"/>
            <w:gridCol w:w="3555"/>
            <w:gridCol w:w="3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jc w:val="center"/>
              <w:rPr>
                <w:b w:val="1"/>
                <w:color w:val="434343"/>
              </w:rPr>
            </w:pPr>
            <w:r w:rsidDel="00000000" w:rsidR="00000000" w:rsidRPr="00000000">
              <w:rPr>
                <w:b w:val="1"/>
                <w:color w:val="434343"/>
                <w:rtl w:val="0"/>
              </w:rPr>
              <w:br w:type="textWrapping"/>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jc w:val="center"/>
              <w:rPr>
                <w:b w:val="1"/>
                <w:color w:val="434343"/>
              </w:rPr>
            </w:pPr>
            <w:r w:rsidDel="00000000" w:rsidR="00000000" w:rsidRPr="00000000">
              <w:rPr>
                <w:b w:val="1"/>
                <w:color w:val="434343"/>
                <w:rtl w:val="0"/>
              </w:rPr>
              <w:t xml:space="preserve">Diferencia respecto a la</w:t>
              <w:br w:type="textWrapping"/>
              <w:t xml:space="preserve"> media en </w:t>
            </w:r>
            <m:oMath>
              <m:r>
                <w:rPr>
                  <w:b w:val="1"/>
                  <w:color w:val="434343"/>
                </w:rPr>
                <m:t xml:space="preserve">x</m:t>
              </m:r>
            </m:oMath>
            <w:r w:rsidDel="00000000" w:rsidR="00000000" w:rsidRPr="00000000">
              <w:rPr>
                <w:b w:val="1"/>
                <w:color w:val="434343"/>
                <w:rtl w:val="0"/>
              </w:rPr>
              <w:t xml:space="preserve">:</w:t>
            </w:r>
          </w:p>
          <w:p w:rsidR="00000000" w:rsidDel="00000000" w:rsidP="00000000" w:rsidRDefault="00000000" w:rsidRPr="00000000" w14:paraId="0000002B">
            <w:pPr>
              <w:widowControl w:val="0"/>
              <w:spacing w:line="240" w:lineRule="auto"/>
              <w:jc w:val="center"/>
              <w:rPr>
                <w:b w:val="1"/>
                <w:color w:val="434343"/>
              </w:rPr>
            </w:pPr>
            <w:r w:rsidDel="00000000" w:rsidR="00000000" w:rsidRPr="00000000">
              <w:rPr>
                <w:b w:val="1"/>
                <w:color w:val="434343"/>
                <w:rtl w:val="0"/>
              </w:rPr>
              <w:t xml:space="preserve"> </w:t>
            </w:r>
            <w:hyperlink r:id="rId13">
              <w:r w:rsidDel="00000000" w:rsidR="00000000" w:rsidRPr="00000000">
                <w:rPr>
                  <w:b w:val="1"/>
                  <w:color w:val="434343"/>
                </w:rPr>
                <w:drawing>
                  <wp:inline distB="19050" distT="19050" distL="19050" distR="19050">
                    <wp:extent cx="495300" cy="152400"/>
                    <wp:effectExtent b="0" l="0" r="0" t="0"/>
                    <wp:docPr id="38"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495300" cy="152400"/>
                            </a:xfrm>
                            <a:prstGeom prst="rect"/>
                            <a:ln/>
                          </pic:spPr>
                        </pic:pic>
                      </a:graphicData>
                    </a:graphic>
                  </wp:inline>
                </w:drawing>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jc w:val="center"/>
              <w:rPr>
                <w:b w:val="1"/>
                <w:color w:val="434343"/>
              </w:rPr>
            </w:pPr>
            <w:r w:rsidDel="00000000" w:rsidR="00000000" w:rsidRPr="00000000">
              <w:rPr>
                <w:b w:val="1"/>
                <w:color w:val="434343"/>
                <w:rtl w:val="0"/>
              </w:rPr>
              <w:t xml:space="preserve">Diferencia respecto a la media en </w:t>
            </w:r>
            <m:oMath>
              <m:r>
                <w:rPr>
                  <w:b w:val="1"/>
                  <w:color w:val="434343"/>
                </w:rPr>
                <m:t xml:space="preserve">y</m:t>
              </m:r>
            </m:oMath>
            <w:r w:rsidDel="00000000" w:rsidR="00000000" w:rsidRPr="00000000">
              <w:rPr>
                <w:b w:val="1"/>
                <w:color w:val="434343"/>
                <w:rtl w:val="0"/>
              </w:rPr>
              <w:t xml:space="preserve">:</w:t>
            </w:r>
          </w:p>
          <w:p w:rsidR="00000000" w:rsidDel="00000000" w:rsidP="00000000" w:rsidRDefault="00000000" w:rsidRPr="00000000" w14:paraId="0000002D">
            <w:pPr>
              <w:widowControl w:val="0"/>
              <w:spacing w:line="240" w:lineRule="auto"/>
              <w:jc w:val="center"/>
              <w:rPr>
                <w:b w:val="1"/>
                <w:color w:val="434343"/>
              </w:rPr>
            </w:pPr>
            <w:r w:rsidDel="00000000" w:rsidR="00000000" w:rsidRPr="00000000">
              <w:rPr>
                <w:b w:val="1"/>
                <w:color w:val="434343"/>
                <w:rtl w:val="0"/>
              </w:rPr>
              <w:t xml:space="preserve"> </w:t>
            </w:r>
            <w:hyperlink r:id="rId15">
              <w:r w:rsidDel="00000000" w:rsidR="00000000" w:rsidRPr="00000000">
                <w:rPr>
                  <w:b w:val="1"/>
                  <w:color w:val="434343"/>
                </w:rPr>
                <w:drawing>
                  <wp:inline distB="19050" distT="19050" distL="19050" distR="19050">
                    <wp:extent cx="469900" cy="152400"/>
                    <wp:effectExtent b="0" l="0" r="0" t="0"/>
                    <wp:docPr id="46"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469900" cy="152400"/>
                            </a:xfrm>
                            <a:prstGeom prst="rect"/>
                            <a:ln/>
                          </pic:spPr>
                        </pic:pic>
                      </a:graphicData>
                    </a:graphic>
                  </wp:inline>
                </w:drawing>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jc w:val="center"/>
              <w:rPr>
                <w:color w:val="434343"/>
              </w:rPr>
            </w:pPr>
            <w:r w:rsidDel="00000000" w:rsidR="00000000" w:rsidRPr="00000000">
              <w:rPr>
                <w:color w:val="434343"/>
                <w:rtl w:val="0"/>
              </w:rPr>
              <w:t xml:space="preserve">Cuadrante I</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jc w:val="center"/>
              <w:rPr>
                <w:color w:val="434343"/>
              </w:rPr>
            </w:pPr>
            <w:r w:rsidDel="00000000" w:rsidR="00000000" w:rsidRPr="00000000">
              <w:rPr>
                <w:color w:val="434343"/>
                <w:rtl w:val="0"/>
              </w:rPr>
              <w:t xml:space="preserve">Positiva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jc w:val="center"/>
              <w:rPr>
                <w:color w:val="434343"/>
              </w:rPr>
            </w:pPr>
            <w:r w:rsidDel="00000000" w:rsidR="00000000" w:rsidRPr="00000000">
              <w:rPr>
                <w:color w:val="434343"/>
                <w:rtl w:val="0"/>
              </w:rPr>
              <w:t xml:space="preserve">Positiva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jc w:val="center"/>
              <w:rPr>
                <w:color w:val="434343"/>
              </w:rPr>
            </w:pPr>
            <w:r w:rsidDel="00000000" w:rsidR="00000000" w:rsidRPr="00000000">
              <w:rPr>
                <w:color w:val="434343"/>
                <w:rtl w:val="0"/>
              </w:rPr>
              <w:t xml:space="preserve">Cuadrante II</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jc w:val="center"/>
              <w:rPr>
                <w:color w:val="434343"/>
              </w:rPr>
            </w:pPr>
            <w:r w:rsidDel="00000000" w:rsidR="00000000" w:rsidRPr="00000000">
              <w:rPr>
                <w:color w:val="434343"/>
                <w:rtl w:val="0"/>
              </w:rPr>
              <w:t xml:space="preserve">Negativa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jc w:val="center"/>
              <w:rPr>
                <w:color w:val="434343"/>
              </w:rPr>
            </w:pPr>
            <w:r w:rsidDel="00000000" w:rsidR="00000000" w:rsidRPr="00000000">
              <w:rPr>
                <w:color w:val="434343"/>
                <w:rtl w:val="0"/>
              </w:rPr>
              <w:t xml:space="preserve">Positiva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jc w:val="center"/>
              <w:rPr>
                <w:color w:val="434343"/>
              </w:rPr>
            </w:pPr>
            <w:r w:rsidDel="00000000" w:rsidR="00000000" w:rsidRPr="00000000">
              <w:rPr>
                <w:color w:val="434343"/>
                <w:rtl w:val="0"/>
              </w:rPr>
              <w:t xml:space="preserve">Cuadrante III</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jc w:val="center"/>
              <w:rPr>
                <w:color w:val="434343"/>
              </w:rPr>
            </w:pPr>
            <w:r w:rsidDel="00000000" w:rsidR="00000000" w:rsidRPr="00000000">
              <w:rPr>
                <w:color w:val="434343"/>
                <w:rtl w:val="0"/>
              </w:rPr>
              <w:t xml:space="preserve">Negativa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jc w:val="center"/>
              <w:rPr>
                <w:color w:val="434343"/>
              </w:rPr>
            </w:pPr>
            <w:r w:rsidDel="00000000" w:rsidR="00000000" w:rsidRPr="00000000">
              <w:rPr>
                <w:color w:val="434343"/>
                <w:rtl w:val="0"/>
              </w:rPr>
              <w:t xml:space="preserve">Negativa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jc w:val="center"/>
              <w:rPr>
                <w:color w:val="434343"/>
              </w:rPr>
            </w:pPr>
            <w:r w:rsidDel="00000000" w:rsidR="00000000" w:rsidRPr="00000000">
              <w:rPr>
                <w:color w:val="434343"/>
                <w:rtl w:val="0"/>
              </w:rPr>
              <w:t xml:space="preserve">Cuadrante IV</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jc w:val="center"/>
              <w:rPr>
                <w:color w:val="434343"/>
              </w:rPr>
            </w:pPr>
            <w:r w:rsidDel="00000000" w:rsidR="00000000" w:rsidRPr="00000000">
              <w:rPr>
                <w:color w:val="434343"/>
                <w:rtl w:val="0"/>
              </w:rPr>
              <w:t xml:space="preserve">Positiva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jc w:val="center"/>
              <w:rPr>
                <w:color w:val="434343"/>
              </w:rPr>
            </w:pPr>
            <w:r w:rsidDel="00000000" w:rsidR="00000000" w:rsidRPr="00000000">
              <w:rPr>
                <w:color w:val="434343"/>
                <w:rtl w:val="0"/>
              </w:rPr>
              <w:t xml:space="preserve">Negativa</w:t>
            </w:r>
          </w:p>
        </w:tc>
      </w:tr>
    </w:tbl>
    <w:p w:rsidR="00000000" w:rsidDel="00000000" w:rsidP="00000000" w:rsidRDefault="00000000" w:rsidRPr="00000000" w14:paraId="0000003A">
      <w:pPr>
        <w:spacing w:line="240" w:lineRule="auto"/>
        <w:ind w:left="720" w:firstLine="0"/>
        <w:rPr>
          <w:color w:val="434343"/>
        </w:rPr>
      </w:pPr>
      <w:r w:rsidDel="00000000" w:rsidR="00000000" w:rsidRPr="00000000">
        <w:rPr>
          <w:rtl w:val="0"/>
        </w:rPr>
      </w:r>
    </w:p>
    <w:p w:rsidR="00000000" w:rsidDel="00000000" w:rsidP="00000000" w:rsidRDefault="00000000" w:rsidRPr="00000000" w14:paraId="0000003B">
      <w:pPr>
        <w:widowControl w:val="0"/>
        <w:spacing w:line="276" w:lineRule="auto"/>
        <w:jc w:val="both"/>
        <w:rPr>
          <w:color w:val="434343"/>
        </w:rPr>
      </w:pPr>
      <w:r w:rsidDel="00000000" w:rsidR="00000000" w:rsidRPr="00000000">
        <w:rPr>
          <w:rtl w:val="0"/>
        </w:rPr>
      </w:r>
    </w:p>
    <w:p w:rsidR="00000000" w:rsidDel="00000000" w:rsidP="00000000" w:rsidRDefault="00000000" w:rsidRPr="00000000" w14:paraId="0000003C">
      <w:pPr>
        <w:widowControl w:val="0"/>
        <w:spacing w:line="276" w:lineRule="auto"/>
        <w:jc w:val="both"/>
        <w:rPr>
          <w:color w:val="434343"/>
        </w:rPr>
      </w:pPr>
      <w:r w:rsidDel="00000000" w:rsidR="00000000" w:rsidRPr="00000000">
        <w:rPr>
          <w:color w:val="434343"/>
          <w:rtl w:val="0"/>
        </w:rPr>
        <w:t xml:space="preserve">Con esto, podemos concluir que el producto entre las diferencias depende del cuadrante donde se ubique cada uno de los puntos. A continuación, se pueden observar los resultados por cuadrante.</w:t>
      </w:r>
    </w:p>
    <w:p w:rsidR="00000000" w:rsidDel="00000000" w:rsidP="00000000" w:rsidRDefault="00000000" w:rsidRPr="00000000" w14:paraId="0000003D">
      <w:pPr>
        <w:spacing w:line="240" w:lineRule="auto"/>
        <w:rPr>
          <w:b w:val="1"/>
          <w:color w:val="434343"/>
        </w:rPr>
      </w:pPr>
      <w:r w:rsidDel="00000000" w:rsidR="00000000" w:rsidRPr="00000000">
        <w:rPr>
          <w:rtl w:val="0"/>
        </w:rPr>
      </w:r>
    </w:p>
    <w:tbl>
      <w:tblPr>
        <w:tblStyle w:val="Table2"/>
        <w:tblW w:w="10080.0" w:type="dxa"/>
        <w:jc w:val="left"/>
        <w:tblInd w:w="-2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0"/>
        <w:gridCol w:w="2565"/>
        <w:gridCol w:w="2460"/>
        <w:gridCol w:w="2865"/>
        <w:tblGridChange w:id="0">
          <w:tblGrid>
            <w:gridCol w:w="2190"/>
            <w:gridCol w:w="2565"/>
            <w:gridCol w:w="2460"/>
            <w:gridCol w:w="2865"/>
          </w:tblGrid>
        </w:tblGridChange>
      </w:tblGrid>
      <w:tr>
        <w:trPr>
          <w:cantSplit w:val="0"/>
          <w:trHeight w:val="1142.4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76" w:lineRule="auto"/>
              <w:rPr>
                <w:b w:val="1"/>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76" w:lineRule="auto"/>
              <w:jc w:val="center"/>
              <w:rPr>
                <w:b w:val="1"/>
                <w:color w:val="434343"/>
              </w:rPr>
            </w:pPr>
            <w:r w:rsidDel="00000000" w:rsidR="00000000" w:rsidRPr="00000000">
              <w:rPr>
                <w:b w:val="1"/>
                <w:color w:val="434343"/>
                <w:rtl w:val="0"/>
              </w:rPr>
              <w:t xml:space="preserve">Diferencia respecto a la media en </w:t>
            </w:r>
            <m:oMath>
              <m:r>
                <w:rPr>
                  <w:b w:val="1"/>
                  <w:color w:val="434343"/>
                </w:rPr>
                <m:t xml:space="preserve">x</m:t>
              </m:r>
            </m:oMath>
            <w:r w:rsidDel="00000000" w:rsidR="00000000" w:rsidRPr="00000000">
              <w:rPr>
                <w:b w:val="1"/>
                <w:color w:val="434343"/>
                <w:rtl w:val="0"/>
              </w:rPr>
              <w:t xml:space="preserve">: </w:t>
            </w:r>
          </w:p>
          <w:p w:rsidR="00000000" w:rsidDel="00000000" w:rsidP="00000000" w:rsidRDefault="00000000" w:rsidRPr="00000000" w14:paraId="00000040">
            <w:pPr>
              <w:widowControl w:val="0"/>
              <w:spacing w:line="276" w:lineRule="auto"/>
              <w:jc w:val="center"/>
              <w:rPr>
                <w:b w:val="1"/>
                <w:color w:val="434343"/>
              </w:rPr>
            </w:pPr>
            <w:hyperlink r:id="rId17">
              <w:r w:rsidDel="00000000" w:rsidR="00000000" w:rsidRPr="00000000">
                <w:rPr>
                  <w:b w:val="1"/>
                  <w:color w:val="434343"/>
                </w:rPr>
                <w:drawing>
                  <wp:inline distB="19050" distT="19050" distL="19050" distR="19050">
                    <wp:extent cx="495300" cy="152400"/>
                    <wp:effectExtent b="0" l="0" r="0" t="0"/>
                    <wp:docPr id="45"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495300" cy="152400"/>
                            </a:xfrm>
                            <a:prstGeom prst="rect"/>
                            <a:ln/>
                          </pic:spPr>
                        </pic:pic>
                      </a:graphicData>
                    </a:graphic>
                  </wp:inline>
                </w:drawing>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76" w:lineRule="auto"/>
              <w:jc w:val="center"/>
              <w:rPr>
                <w:b w:val="1"/>
                <w:color w:val="434343"/>
              </w:rPr>
            </w:pPr>
            <w:r w:rsidDel="00000000" w:rsidR="00000000" w:rsidRPr="00000000">
              <w:rPr>
                <w:b w:val="1"/>
                <w:color w:val="434343"/>
                <w:rtl w:val="0"/>
              </w:rPr>
              <w:t xml:space="preserve">Diferencia respecto a la media en </w:t>
            </w:r>
            <m:oMath>
              <m:r>
                <w:rPr>
                  <w:b w:val="1"/>
                  <w:color w:val="434343"/>
                </w:rPr>
                <m:t xml:space="preserve">y</m:t>
              </m:r>
            </m:oMath>
            <w:r w:rsidDel="00000000" w:rsidR="00000000" w:rsidRPr="00000000">
              <w:rPr>
                <w:b w:val="1"/>
                <w:color w:val="434343"/>
                <w:rtl w:val="0"/>
              </w:rPr>
              <w:t xml:space="preserve">: </w:t>
            </w:r>
          </w:p>
          <w:p w:rsidR="00000000" w:rsidDel="00000000" w:rsidP="00000000" w:rsidRDefault="00000000" w:rsidRPr="00000000" w14:paraId="00000042">
            <w:pPr>
              <w:widowControl w:val="0"/>
              <w:spacing w:line="276" w:lineRule="auto"/>
              <w:jc w:val="center"/>
              <w:rPr>
                <w:b w:val="1"/>
                <w:color w:val="434343"/>
              </w:rPr>
            </w:pPr>
            <w:r w:rsidDel="00000000" w:rsidR="00000000" w:rsidRPr="00000000">
              <w:rPr>
                <w:b w:val="1"/>
                <w:color w:val="434343"/>
                <w:rtl w:val="0"/>
              </w:rPr>
              <w:t xml:space="preserve"> </w:t>
            </w:r>
            <w:hyperlink r:id="rId18">
              <w:r w:rsidDel="00000000" w:rsidR="00000000" w:rsidRPr="00000000">
                <w:rPr>
                  <w:b w:val="1"/>
                  <w:color w:val="434343"/>
                </w:rPr>
                <w:drawing>
                  <wp:inline distB="19050" distT="19050" distL="19050" distR="19050">
                    <wp:extent cx="469900" cy="152400"/>
                    <wp:effectExtent b="0" l="0" r="0" t="0"/>
                    <wp:docPr id="37"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469900" cy="152400"/>
                            </a:xfrm>
                            <a:prstGeom prst="rect"/>
                            <a:ln/>
                          </pic:spPr>
                        </pic:pic>
                      </a:graphicData>
                    </a:graphic>
                  </wp:inline>
                </w:drawing>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76" w:lineRule="auto"/>
              <w:jc w:val="center"/>
              <w:rPr>
                <w:b w:val="1"/>
                <w:color w:val="434343"/>
              </w:rPr>
            </w:pPr>
            <w:r w:rsidDel="00000000" w:rsidR="00000000" w:rsidRPr="00000000">
              <w:rPr>
                <w:b w:val="1"/>
                <w:color w:val="434343"/>
                <w:rtl w:val="0"/>
              </w:rPr>
              <w:t xml:space="preserve">Producto de las diferencias en  </w:t>
            </w:r>
          </w:p>
          <w:p w:rsidR="00000000" w:rsidDel="00000000" w:rsidP="00000000" w:rsidRDefault="00000000" w:rsidRPr="00000000" w14:paraId="00000044">
            <w:pPr>
              <w:widowControl w:val="0"/>
              <w:spacing w:line="276" w:lineRule="auto"/>
              <w:jc w:val="center"/>
              <w:rPr>
                <w:b w:val="1"/>
                <w:color w:val="434343"/>
              </w:rPr>
            </w:pPr>
            <w:hyperlink r:id="rId19">
              <w:r w:rsidDel="00000000" w:rsidR="00000000" w:rsidRPr="00000000">
                <w:rPr>
                  <w:b w:val="1"/>
                  <w:color w:val="434343"/>
                </w:rPr>
                <w:drawing>
                  <wp:inline distB="19050" distT="19050" distL="19050" distR="19050">
                    <wp:extent cx="1117600" cy="152400"/>
                    <wp:effectExtent b="0" l="0" r="0" t="0"/>
                    <wp:docPr id="41"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1117600" cy="152400"/>
                            </a:xfrm>
                            <a:prstGeom prst="rect"/>
                            <a:ln/>
                          </pic:spPr>
                        </pic:pic>
                      </a:graphicData>
                    </a:graphic>
                  </wp:inline>
                </w:drawing>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76" w:lineRule="auto"/>
              <w:jc w:val="center"/>
              <w:rPr>
                <w:color w:val="434343"/>
              </w:rPr>
            </w:pPr>
            <w:r w:rsidDel="00000000" w:rsidR="00000000" w:rsidRPr="00000000">
              <w:rPr>
                <w:color w:val="434343"/>
                <w:rtl w:val="0"/>
              </w:rPr>
              <w:t xml:space="preserve">Cuadrante I</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76" w:lineRule="auto"/>
              <w:jc w:val="center"/>
              <w:rPr>
                <w:color w:val="434343"/>
              </w:rPr>
            </w:pPr>
            <w:r w:rsidDel="00000000" w:rsidR="00000000" w:rsidRPr="00000000">
              <w:rPr>
                <w:color w:val="434343"/>
                <w:rtl w:val="0"/>
              </w:rPr>
              <w:t xml:space="preserve">Positiva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76" w:lineRule="auto"/>
              <w:jc w:val="center"/>
              <w:rPr>
                <w:color w:val="434343"/>
              </w:rPr>
            </w:pPr>
            <w:r w:rsidDel="00000000" w:rsidR="00000000" w:rsidRPr="00000000">
              <w:rPr>
                <w:color w:val="434343"/>
                <w:rtl w:val="0"/>
              </w:rPr>
              <w:t xml:space="preserve">Positiva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76" w:lineRule="auto"/>
              <w:jc w:val="center"/>
              <w:rPr>
                <w:color w:val="434343"/>
              </w:rPr>
            </w:pPr>
            <w:r w:rsidDel="00000000" w:rsidR="00000000" w:rsidRPr="00000000">
              <w:rPr>
                <w:color w:val="434343"/>
                <w:rtl w:val="0"/>
              </w:rPr>
              <w:t xml:space="preserve">Positivo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76" w:lineRule="auto"/>
              <w:jc w:val="center"/>
              <w:rPr>
                <w:color w:val="434343"/>
              </w:rPr>
            </w:pPr>
            <w:r w:rsidDel="00000000" w:rsidR="00000000" w:rsidRPr="00000000">
              <w:rPr>
                <w:color w:val="434343"/>
                <w:rtl w:val="0"/>
              </w:rPr>
              <w:t xml:space="preserve">Cuadrante II</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76" w:lineRule="auto"/>
              <w:jc w:val="center"/>
              <w:rPr>
                <w:color w:val="434343"/>
              </w:rPr>
            </w:pPr>
            <w:r w:rsidDel="00000000" w:rsidR="00000000" w:rsidRPr="00000000">
              <w:rPr>
                <w:color w:val="434343"/>
                <w:rtl w:val="0"/>
              </w:rPr>
              <w:t xml:space="preserve">Negativa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76" w:lineRule="auto"/>
              <w:jc w:val="center"/>
              <w:rPr>
                <w:color w:val="434343"/>
              </w:rPr>
            </w:pPr>
            <w:r w:rsidDel="00000000" w:rsidR="00000000" w:rsidRPr="00000000">
              <w:rPr>
                <w:color w:val="434343"/>
                <w:rtl w:val="0"/>
              </w:rPr>
              <w:t xml:space="preserve">Positiva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76" w:lineRule="auto"/>
              <w:jc w:val="center"/>
              <w:rPr>
                <w:color w:val="434343"/>
              </w:rPr>
            </w:pPr>
            <w:r w:rsidDel="00000000" w:rsidR="00000000" w:rsidRPr="00000000">
              <w:rPr>
                <w:color w:val="434343"/>
                <w:rtl w:val="0"/>
              </w:rPr>
              <w:t xml:space="preserve">Negativo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76" w:lineRule="auto"/>
              <w:jc w:val="center"/>
              <w:rPr>
                <w:color w:val="434343"/>
              </w:rPr>
            </w:pPr>
            <w:r w:rsidDel="00000000" w:rsidR="00000000" w:rsidRPr="00000000">
              <w:rPr>
                <w:color w:val="434343"/>
                <w:rtl w:val="0"/>
              </w:rPr>
              <w:t xml:space="preserve">Cuadrante III</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76" w:lineRule="auto"/>
              <w:jc w:val="center"/>
              <w:rPr>
                <w:b w:val="1"/>
                <w:i w:val="1"/>
                <w:color w:val="434343"/>
              </w:rPr>
            </w:pPr>
            <w:r w:rsidDel="00000000" w:rsidR="00000000" w:rsidRPr="00000000">
              <w:rPr>
                <w:color w:val="434343"/>
                <w:rtl w:val="0"/>
              </w:rPr>
              <w:t xml:space="preserve">Positiva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76" w:lineRule="auto"/>
              <w:jc w:val="center"/>
              <w:rPr>
                <w:color w:val="434343"/>
              </w:rPr>
            </w:pPr>
            <w:r w:rsidDel="00000000" w:rsidR="00000000" w:rsidRPr="00000000">
              <w:rPr>
                <w:color w:val="434343"/>
                <w:rtl w:val="0"/>
              </w:rPr>
              <w:t xml:space="preserve">Negativa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76" w:lineRule="auto"/>
              <w:jc w:val="center"/>
              <w:rPr>
                <w:color w:val="434343"/>
              </w:rPr>
            </w:pPr>
            <w:r w:rsidDel="00000000" w:rsidR="00000000" w:rsidRPr="00000000">
              <w:rPr>
                <w:color w:val="434343"/>
                <w:rtl w:val="0"/>
              </w:rPr>
              <w:t xml:space="preserve">Negativo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76" w:lineRule="auto"/>
              <w:jc w:val="center"/>
              <w:rPr>
                <w:color w:val="434343"/>
              </w:rPr>
            </w:pPr>
            <w:r w:rsidDel="00000000" w:rsidR="00000000" w:rsidRPr="00000000">
              <w:rPr>
                <w:color w:val="434343"/>
                <w:rtl w:val="0"/>
              </w:rPr>
              <w:t xml:space="preserve">Cuadrante IV</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76" w:lineRule="auto"/>
              <w:jc w:val="center"/>
              <w:rPr>
                <w:b w:val="1"/>
                <w:i w:val="1"/>
                <w:color w:val="434343"/>
              </w:rPr>
            </w:pPr>
            <w:r w:rsidDel="00000000" w:rsidR="00000000" w:rsidRPr="00000000">
              <w:rPr>
                <w:color w:val="434343"/>
                <w:rtl w:val="0"/>
              </w:rPr>
              <w:t xml:space="preserve">Negativa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76" w:lineRule="auto"/>
              <w:jc w:val="center"/>
              <w:rPr>
                <w:color w:val="434343"/>
              </w:rPr>
            </w:pPr>
            <w:r w:rsidDel="00000000" w:rsidR="00000000" w:rsidRPr="00000000">
              <w:rPr>
                <w:color w:val="434343"/>
                <w:rtl w:val="0"/>
              </w:rPr>
              <w:t xml:space="preserve">Negativa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76" w:lineRule="auto"/>
              <w:jc w:val="center"/>
              <w:rPr>
                <w:color w:val="434343"/>
              </w:rPr>
            </w:pPr>
            <w:r w:rsidDel="00000000" w:rsidR="00000000" w:rsidRPr="00000000">
              <w:rPr>
                <w:color w:val="434343"/>
                <w:rtl w:val="0"/>
              </w:rPr>
              <w:t xml:space="preserve">Positivo</w:t>
            </w:r>
          </w:p>
        </w:tc>
      </w:tr>
    </w:tbl>
    <w:p w:rsidR="00000000" w:rsidDel="00000000" w:rsidP="00000000" w:rsidRDefault="00000000" w:rsidRPr="00000000" w14:paraId="00000055">
      <w:pPr>
        <w:spacing w:line="240" w:lineRule="auto"/>
        <w:jc w:val="right"/>
        <w:rPr>
          <w:color w:val="434343"/>
        </w:rPr>
      </w:pPr>
      <w:r w:rsidDel="00000000" w:rsidR="00000000" w:rsidRPr="00000000">
        <w:rPr>
          <w:rtl w:val="0"/>
        </w:rPr>
      </w:r>
    </w:p>
    <w:p w:rsidR="00000000" w:rsidDel="00000000" w:rsidP="00000000" w:rsidRDefault="00000000" w:rsidRPr="00000000" w14:paraId="00000056">
      <w:pPr>
        <w:widowControl w:val="0"/>
        <w:spacing w:line="276" w:lineRule="auto"/>
        <w:jc w:val="both"/>
        <w:rPr>
          <w:color w:val="434343"/>
        </w:rPr>
      </w:pPr>
      <w:r w:rsidDel="00000000" w:rsidR="00000000" w:rsidRPr="00000000">
        <w:rPr>
          <w:color w:val="434343"/>
          <w:rtl w:val="0"/>
        </w:rPr>
        <w:t xml:space="preserve">Ahora, si en el gráfico de dispersión se observa una tendencia lineal positiva, la mayoría de los puntos estarán ubicados en los cuadrantes I y III, que son aquellos donde el producto es positivo.   </w:t>
      </w:r>
    </w:p>
    <w:p w:rsidR="00000000" w:rsidDel="00000000" w:rsidP="00000000" w:rsidRDefault="00000000" w:rsidRPr="00000000" w14:paraId="00000057">
      <w:pPr>
        <w:widowControl w:val="0"/>
        <w:spacing w:line="240" w:lineRule="auto"/>
        <w:rPr>
          <w:color w:val="43434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2276475</wp:posOffset>
            </wp:positionH>
            <wp:positionV relativeFrom="paragraph">
              <wp:posOffset>209550</wp:posOffset>
            </wp:positionV>
            <wp:extent cx="2152650" cy="1896382"/>
            <wp:effectExtent b="0" l="0" r="0" t="0"/>
            <wp:wrapTopAndBottom distB="114300" distT="114300"/>
            <wp:docPr id="39"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2152650" cy="1896382"/>
                    </a:xfrm>
                    <a:prstGeom prst="rect"/>
                    <a:ln/>
                  </pic:spPr>
                </pic:pic>
              </a:graphicData>
            </a:graphic>
          </wp:anchor>
        </w:drawing>
      </w:r>
    </w:p>
    <w:p w:rsidR="00000000" w:rsidDel="00000000" w:rsidP="00000000" w:rsidRDefault="00000000" w:rsidRPr="00000000" w14:paraId="00000058">
      <w:pPr>
        <w:widowControl w:val="0"/>
        <w:spacing w:line="276" w:lineRule="auto"/>
        <w:jc w:val="both"/>
        <w:rPr>
          <w:color w:val="434343"/>
        </w:rPr>
      </w:pPr>
      <w:r w:rsidDel="00000000" w:rsidR="00000000" w:rsidRPr="00000000">
        <w:rPr>
          <w:color w:val="434343"/>
          <w:rtl w:val="0"/>
        </w:rPr>
        <w:t xml:space="preserve">En cambio, si en el gráfico de dispersión se observa una tendencia lineal negativa, la mayoría de los puntos estarán ubicados en los cuadrantes II y IV, que son aquellos en los que el producto de las diferencias es negativo. </w:t>
      </w:r>
    </w:p>
    <w:p w:rsidR="00000000" w:rsidDel="00000000" w:rsidP="00000000" w:rsidRDefault="00000000" w:rsidRPr="00000000" w14:paraId="00000059">
      <w:pPr>
        <w:widowControl w:val="0"/>
        <w:spacing w:line="276" w:lineRule="auto"/>
        <w:jc w:val="both"/>
        <w:rPr>
          <w:color w:val="434343"/>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2276475</wp:posOffset>
            </wp:positionH>
            <wp:positionV relativeFrom="paragraph">
              <wp:posOffset>76200</wp:posOffset>
            </wp:positionV>
            <wp:extent cx="2152650" cy="1892668"/>
            <wp:effectExtent b="0" l="0" r="0" t="0"/>
            <wp:wrapTopAndBottom distB="57150" distT="57150"/>
            <wp:docPr id="43"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2152650" cy="1892668"/>
                    </a:xfrm>
                    <a:prstGeom prst="rect"/>
                    <a:ln/>
                  </pic:spPr>
                </pic:pic>
              </a:graphicData>
            </a:graphic>
          </wp:anchor>
        </w:drawing>
      </w:r>
    </w:p>
    <w:p w:rsidR="00000000" w:rsidDel="00000000" w:rsidP="00000000" w:rsidRDefault="00000000" w:rsidRPr="00000000" w14:paraId="0000005A">
      <w:pPr>
        <w:widowControl w:val="0"/>
        <w:spacing w:line="276" w:lineRule="auto"/>
        <w:jc w:val="both"/>
        <w:rPr>
          <w:color w:val="434343"/>
        </w:rPr>
      </w:pPr>
      <w:r w:rsidDel="00000000" w:rsidR="00000000" w:rsidRPr="00000000">
        <w:rPr>
          <w:rtl w:val="0"/>
        </w:rPr>
      </w:r>
    </w:p>
    <w:p w:rsidR="00000000" w:rsidDel="00000000" w:rsidP="00000000" w:rsidRDefault="00000000" w:rsidRPr="00000000" w14:paraId="0000005B">
      <w:pPr>
        <w:widowControl w:val="0"/>
        <w:spacing w:line="240" w:lineRule="auto"/>
        <w:rPr>
          <w:color w:val="434343"/>
        </w:rPr>
      </w:pPr>
      <w:r w:rsidDel="00000000" w:rsidR="00000000" w:rsidRPr="00000000">
        <w:rPr>
          <w:color w:val="434343"/>
          <w:rtl w:val="0"/>
        </w:rPr>
        <w:t xml:space="preserve">Por último, si tenemos un gráfico que representa dos variables que no siguen una tendencia lineal o en los que no se observa un patrón, vemos que los puntos se encuentran dispersos en los cuatro cuadrantes.</w:t>
      </w:r>
    </w:p>
    <w:p w:rsidR="00000000" w:rsidDel="00000000" w:rsidP="00000000" w:rsidRDefault="00000000" w:rsidRPr="00000000" w14:paraId="0000005C">
      <w:pPr>
        <w:widowControl w:val="0"/>
        <w:spacing w:line="240" w:lineRule="auto"/>
        <w:rPr>
          <w:color w:val="43434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2166938</wp:posOffset>
            </wp:positionH>
            <wp:positionV relativeFrom="paragraph">
              <wp:posOffset>190500</wp:posOffset>
            </wp:positionV>
            <wp:extent cx="2521744" cy="1998616"/>
            <wp:effectExtent b="0" l="0" r="0" t="0"/>
            <wp:wrapTopAndBottom distB="114300" distT="114300"/>
            <wp:docPr id="44"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2521744" cy="1998616"/>
                    </a:xfrm>
                    <a:prstGeom prst="rect"/>
                    <a:ln/>
                  </pic:spPr>
                </pic:pic>
              </a:graphicData>
            </a:graphic>
          </wp:anchor>
        </w:drawing>
      </w:r>
    </w:p>
    <w:p w:rsidR="00000000" w:rsidDel="00000000" w:rsidP="00000000" w:rsidRDefault="00000000" w:rsidRPr="00000000" w14:paraId="0000005D">
      <w:pPr>
        <w:widowControl w:val="0"/>
        <w:spacing w:line="240" w:lineRule="auto"/>
        <w:jc w:val="both"/>
        <w:rPr>
          <w:color w:val="434343"/>
        </w:rPr>
      </w:pPr>
      <w:r w:rsidDel="00000000" w:rsidR="00000000" w:rsidRPr="00000000">
        <w:rPr>
          <w:color w:val="434343"/>
          <w:rtl w:val="0"/>
        </w:rPr>
        <w:t xml:space="preserve">En estos casos, no predominan ni los puntos cuyos productos son positivos ni en los que son negativos.</w:t>
      </w:r>
    </w:p>
    <w:p w:rsidR="00000000" w:rsidDel="00000000" w:rsidP="00000000" w:rsidRDefault="00000000" w:rsidRPr="00000000" w14:paraId="0000005E">
      <w:pPr>
        <w:widowControl w:val="0"/>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5F">
      <w:pPr>
        <w:widowControl w:val="0"/>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60">
      <w:pPr>
        <w:widowControl w:val="0"/>
        <w:jc w:val="both"/>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SÍNTESIS</w:t>
      </w:r>
    </w:p>
    <w:p w:rsidR="00000000" w:rsidDel="00000000" w:rsidP="00000000" w:rsidRDefault="00000000" w:rsidRPr="00000000" w14:paraId="00000061">
      <w:pPr>
        <w:widowControl w:val="0"/>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62">
      <w:pPr>
        <w:widowControl w:val="0"/>
        <w:numPr>
          <w:ilvl w:val="0"/>
          <w:numId w:val="3"/>
        </w:numPr>
        <w:spacing w:after="200" w:line="276" w:lineRule="auto"/>
        <w:ind w:left="720" w:hanging="360"/>
        <w:rPr>
          <w:color w:val="434343"/>
        </w:rPr>
      </w:pPr>
      <w:r w:rsidDel="00000000" w:rsidR="00000000" w:rsidRPr="00000000">
        <w:rPr>
          <w:color w:val="434343"/>
          <w:rtl w:val="0"/>
        </w:rPr>
        <w:t xml:space="preserve">En un gráfico de dispersión, cuando dibujamos las rectas verticales y horizontales que representan el promedio de cada variable, se definen cuadrantes en los que se pueden clasificar los puntos:</w:t>
      </w:r>
    </w:p>
    <w:p w:rsidR="00000000" w:rsidDel="00000000" w:rsidP="00000000" w:rsidRDefault="00000000" w:rsidRPr="00000000" w14:paraId="00000063">
      <w:pPr>
        <w:numPr>
          <w:ilvl w:val="0"/>
          <w:numId w:val="2"/>
        </w:numPr>
        <w:spacing w:line="276" w:lineRule="auto"/>
        <w:ind w:left="1440" w:hanging="360"/>
        <w:rPr>
          <w:color w:val="434343"/>
        </w:rPr>
      </w:pPr>
      <w:r w:rsidDel="00000000" w:rsidR="00000000" w:rsidRPr="00000000">
        <w:rPr>
          <w:color w:val="434343"/>
          <w:rtl w:val="0"/>
        </w:rPr>
        <w:t xml:space="preserve">Los puntos del cuadrante I tienen un valor en </w:t>
      </w:r>
      <m:oMath>
        <m:r>
          <w:rPr>
            <w:color w:val="434343"/>
          </w:rPr>
          <m:t xml:space="preserve">x</m:t>
        </m:r>
      </m:oMath>
      <w:r w:rsidDel="00000000" w:rsidR="00000000" w:rsidRPr="00000000">
        <w:rPr>
          <w:color w:val="434343"/>
          <w:rtl w:val="0"/>
        </w:rPr>
        <w:t xml:space="preserve"> mayor y en </w:t>
      </w:r>
      <m:oMath>
        <m:r>
          <w:rPr>
            <w:color w:val="434343"/>
          </w:rPr>
          <m:t xml:space="preserve">y </m:t>
        </m:r>
      </m:oMath>
      <w:r w:rsidDel="00000000" w:rsidR="00000000" w:rsidRPr="00000000">
        <w:rPr>
          <w:color w:val="434343"/>
          <w:rtl w:val="0"/>
        </w:rPr>
        <w:t xml:space="preserve">mayor al promedio de la muestra.</w:t>
      </w:r>
    </w:p>
    <w:p w:rsidR="00000000" w:rsidDel="00000000" w:rsidP="00000000" w:rsidRDefault="00000000" w:rsidRPr="00000000" w14:paraId="00000064">
      <w:pPr>
        <w:numPr>
          <w:ilvl w:val="0"/>
          <w:numId w:val="2"/>
        </w:numPr>
        <w:spacing w:line="276" w:lineRule="auto"/>
        <w:ind w:left="1440" w:hanging="360"/>
        <w:rPr>
          <w:color w:val="434343"/>
        </w:rPr>
      </w:pPr>
      <w:r w:rsidDel="00000000" w:rsidR="00000000" w:rsidRPr="00000000">
        <w:rPr>
          <w:color w:val="434343"/>
          <w:rtl w:val="0"/>
        </w:rPr>
        <w:t xml:space="preserve">Los puntos del cuadrante II tienen un valor en </w:t>
      </w:r>
      <m:oMath>
        <m:r>
          <w:rPr>
            <w:color w:val="434343"/>
          </w:rPr>
          <m:t xml:space="preserve">x </m:t>
        </m:r>
      </m:oMath>
      <w:r w:rsidDel="00000000" w:rsidR="00000000" w:rsidRPr="00000000">
        <w:rPr>
          <w:color w:val="434343"/>
          <w:rtl w:val="0"/>
        </w:rPr>
        <w:t xml:space="preserve">menor y en </w:t>
      </w:r>
      <m:oMath>
        <m:r>
          <w:rPr>
            <w:color w:val="434343"/>
          </w:rPr>
          <m:t xml:space="preserve">y</m:t>
        </m:r>
      </m:oMath>
      <w:r w:rsidDel="00000000" w:rsidR="00000000" w:rsidRPr="00000000">
        <w:rPr>
          <w:color w:val="434343"/>
          <w:rtl w:val="0"/>
        </w:rPr>
        <w:t xml:space="preserve"> mayor al promedio de la muestra.</w:t>
      </w:r>
    </w:p>
    <w:p w:rsidR="00000000" w:rsidDel="00000000" w:rsidP="00000000" w:rsidRDefault="00000000" w:rsidRPr="00000000" w14:paraId="00000065">
      <w:pPr>
        <w:numPr>
          <w:ilvl w:val="0"/>
          <w:numId w:val="2"/>
        </w:numPr>
        <w:spacing w:line="276" w:lineRule="auto"/>
        <w:ind w:left="1440" w:hanging="360"/>
        <w:rPr>
          <w:color w:val="434343"/>
        </w:rPr>
      </w:pPr>
      <w:r w:rsidDel="00000000" w:rsidR="00000000" w:rsidRPr="00000000">
        <w:rPr>
          <w:color w:val="434343"/>
          <w:rtl w:val="0"/>
        </w:rPr>
        <w:t xml:space="preserve">Los puntos del cuadrante III tienen un valor en </w:t>
      </w:r>
      <m:oMath>
        <m:r>
          <w:rPr>
            <w:color w:val="434343"/>
          </w:rPr>
          <m:t xml:space="preserve">x </m:t>
        </m:r>
      </m:oMath>
      <w:r w:rsidDel="00000000" w:rsidR="00000000" w:rsidRPr="00000000">
        <w:rPr>
          <w:color w:val="434343"/>
          <w:rtl w:val="0"/>
        </w:rPr>
        <w:t xml:space="preserve">menor y en </w:t>
      </w:r>
      <m:oMath>
        <m:r>
          <w:rPr>
            <w:color w:val="434343"/>
          </w:rPr>
          <m:t xml:space="preserve">y</m:t>
        </m:r>
      </m:oMath>
      <w:r w:rsidDel="00000000" w:rsidR="00000000" w:rsidRPr="00000000">
        <w:rPr>
          <w:color w:val="434343"/>
          <w:rtl w:val="0"/>
        </w:rPr>
        <w:t xml:space="preserve"> menor al promedio de la muestra.</w:t>
      </w:r>
    </w:p>
    <w:p w:rsidR="00000000" w:rsidDel="00000000" w:rsidP="00000000" w:rsidRDefault="00000000" w:rsidRPr="00000000" w14:paraId="00000066">
      <w:pPr>
        <w:numPr>
          <w:ilvl w:val="0"/>
          <w:numId w:val="2"/>
        </w:numPr>
        <w:spacing w:line="276" w:lineRule="auto"/>
        <w:ind w:left="1440" w:hanging="360"/>
        <w:rPr>
          <w:color w:val="434343"/>
        </w:rPr>
      </w:pPr>
      <w:r w:rsidDel="00000000" w:rsidR="00000000" w:rsidRPr="00000000">
        <w:rPr>
          <w:color w:val="434343"/>
          <w:rtl w:val="0"/>
        </w:rPr>
        <w:t xml:space="preserve">Los puntos del cuadrante IV tienen un valor en </w:t>
      </w:r>
      <m:oMath>
        <m:r>
          <w:rPr>
            <w:color w:val="434343"/>
          </w:rPr>
          <m:t xml:space="preserve">x</m:t>
        </m:r>
      </m:oMath>
      <w:r w:rsidDel="00000000" w:rsidR="00000000" w:rsidRPr="00000000">
        <w:rPr>
          <w:color w:val="434343"/>
          <w:rtl w:val="0"/>
        </w:rPr>
        <w:t xml:space="preserve"> mayor y en </w:t>
      </w:r>
      <m:oMath>
        <m:r>
          <w:rPr>
            <w:color w:val="434343"/>
          </w:rPr>
          <m:t xml:space="preserve">y</m:t>
        </m:r>
      </m:oMath>
      <w:r w:rsidDel="00000000" w:rsidR="00000000" w:rsidRPr="00000000">
        <w:rPr>
          <w:color w:val="434343"/>
          <w:rtl w:val="0"/>
        </w:rPr>
        <w:t xml:space="preserve"> menor al promedio de la muestra.</w:t>
        <w:br w:type="textWrapping"/>
      </w:r>
    </w:p>
    <w:p w:rsidR="00000000" w:rsidDel="00000000" w:rsidP="00000000" w:rsidRDefault="00000000" w:rsidRPr="00000000" w14:paraId="00000067">
      <w:pPr>
        <w:numPr>
          <w:ilvl w:val="0"/>
          <w:numId w:val="3"/>
        </w:numPr>
        <w:spacing w:after="200" w:line="276" w:lineRule="auto"/>
        <w:ind w:left="720" w:hanging="360"/>
        <w:jc w:val="both"/>
        <w:rPr>
          <w:color w:val="434343"/>
        </w:rPr>
      </w:pPr>
      <w:r w:rsidDel="00000000" w:rsidR="00000000" w:rsidRPr="00000000">
        <w:rPr>
          <w:color w:val="434343"/>
          <w:rtl w:val="0"/>
        </w:rPr>
        <w:t xml:space="preserve">Al multiplicar las diferencias respecto a la media de cada variable, este valor será positivo cuando el dato esté en los cuadrantes I y III, mientras que, si está en los cuadrantes II y IV, el signo de esta multiplicación será negativo.</w:t>
      </w:r>
      <w:r w:rsidDel="00000000" w:rsidR="00000000" w:rsidRPr="00000000">
        <w:rPr>
          <w:rtl w:val="0"/>
        </w:rPr>
      </w:r>
    </w:p>
    <w:sectPr>
      <w:headerReference r:id="rId2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ill Sans">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Curso: </w:t>
    </w:r>
    <w:r w:rsidDel="00000000" w:rsidR="00000000" w:rsidRPr="00000000">
      <w:rPr>
        <w:rFonts w:ascii="Nunito Medium" w:cs="Nunito Medium" w:eastAsia="Nunito Medium" w:hAnsi="Nunito Medium"/>
        <w:color w:val="999999"/>
        <w:sz w:val="20"/>
        <w:szCs w:val="20"/>
        <w:rtl w:val="0"/>
      </w:rPr>
      <w:t xml:space="preserve">Probabilidad y estadística descriptiva</w:t>
    </w:r>
  </w:p>
  <w:p w:rsidR="00000000" w:rsidDel="00000000" w:rsidP="00000000" w:rsidRDefault="00000000" w:rsidRPr="00000000" w14:paraId="00000069">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Unidad 2 : </w:t>
    </w:r>
    <w:r w:rsidDel="00000000" w:rsidR="00000000" w:rsidRPr="00000000">
      <w:rPr>
        <w:rFonts w:ascii="Nunito Medium" w:cs="Nunito Medium" w:eastAsia="Nunito Medium" w:hAnsi="Nunito Medium"/>
        <w:color w:val="999999"/>
        <w:sz w:val="20"/>
        <w:szCs w:val="20"/>
        <w:rtl w:val="0"/>
      </w:rPr>
      <w:t xml:space="preserve">Media muestral, dispersión y correlación</w:t>
    </w:r>
  </w:p>
  <w:p w:rsidR="00000000" w:rsidDel="00000000" w:rsidP="00000000" w:rsidRDefault="00000000" w:rsidRPr="00000000" w14:paraId="0000006A">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Tema:</w:t>
    </w:r>
    <w:r w:rsidDel="00000000" w:rsidR="00000000" w:rsidRPr="00000000">
      <w:rPr>
        <w:rFonts w:ascii="Nunito Medium" w:cs="Nunito Medium" w:eastAsia="Nunito Medium" w:hAnsi="Nunito Medium"/>
        <w:color w:val="999999"/>
        <w:sz w:val="20"/>
        <w:szCs w:val="20"/>
        <w:rtl w:val="0"/>
      </w:rPr>
      <w:t xml:space="preserve"> Relación entre variables cuantitativas</w:t>
    </w:r>
  </w:p>
  <w:p w:rsidR="00000000" w:rsidDel="00000000" w:rsidP="00000000" w:rsidRDefault="00000000" w:rsidRPr="00000000" w14:paraId="0000006B">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Contenido:</w:t>
    </w:r>
    <w:r w:rsidDel="00000000" w:rsidR="00000000" w:rsidRPr="00000000">
      <w:rPr>
        <w:rFonts w:ascii="Nunito Medium" w:cs="Nunito Medium" w:eastAsia="Nunito Medium" w:hAnsi="Nunito Medium"/>
        <w:color w:val="999999"/>
        <w:sz w:val="20"/>
        <w:szCs w:val="20"/>
        <w:rtl w:val="0"/>
      </w:rPr>
      <w:t xml:space="preserve"> Análisis de gráficos de dispersión con tendencia lineal</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C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Encabezado">
    <w:name w:val="header"/>
    <w:basedOn w:val="Normal"/>
    <w:link w:val="EncabezadoCar"/>
    <w:uiPriority w:val="99"/>
    <w:unhideWhenUsed w:val="1"/>
    <w:rsid w:val="00CB1990"/>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CB1990"/>
  </w:style>
  <w:style w:type="paragraph" w:styleId="Piedepgina">
    <w:name w:val="footer"/>
    <w:basedOn w:val="Normal"/>
    <w:link w:val="PiedepginaCar"/>
    <w:uiPriority w:val="99"/>
    <w:unhideWhenUsed w:val="1"/>
    <w:rsid w:val="00CB1990"/>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CB1990"/>
  </w:style>
  <w:style w:type="paragraph" w:styleId="NormalWeb">
    <w:name w:val="Normal (Web)"/>
    <w:basedOn w:val="Normal"/>
    <w:uiPriority w:val="99"/>
    <w:semiHidden w:val="1"/>
    <w:unhideWhenUsed w:val="1"/>
    <w:rsid w:val="003D3A28"/>
    <w:pPr>
      <w:spacing w:after="100" w:afterAutospacing="1" w:before="100" w:beforeAutospacing="1" w:line="240" w:lineRule="auto"/>
    </w:pPr>
    <w:rPr>
      <w:rFonts w:ascii="Times New Roman" w:cs="Times New Roman" w:eastAsia="Times New Roman" w:hAnsi="Times New Roman"/>
      <w:sz w:val="24"/>
      <w:szCs w:val="24"/>
      <w:lang w:val="es-CL"/>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image" Target="media/image11.png"/><Relationship Id="rId22" Type="http://schemas.openxmlformats.org/officeDocument/2006/relationships/image" Target="media/image8.png"/><Relationship Id="rId10" Type="http://schemas.openxmlformats.org/officeDocument/2006/relationships/image" Target="media/image9.png"/><Relationship Id="rId21" Type="http://schemas.openxmlformats.org/officeDocument/2006/relationships/image" Target="media/image10.png"/><Relationship Id="rId13" Type="http://schemas.openxmlformats.org/officeDocument/2006/relationships/hyperlink" Target="https://www.codecogs.com/eqnedit.php?latex=(x_i-%20%5Cbar%7Bx%7D)#0" TargetMode="External"/><Relationship Id="rId12" Type="http://schemas.openxmlformats.org/officeDocument/2006/relationships/image" Target="media/image2.pn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hyperlink" Target="https://www.codecogs.com/eqnedit.php?latex=(y_i-%20%5Cbar%7By%7D)#0" TargetMode="External"/><Relationship Id="rId14" Type="http://schemas.openxmlformats.org/officeDocument/2006/relationships/image" Target="media/image5.png"/><Relationship Id="rId17" Type="http://schemas.openxmlformats.org/officeDocument/2006/relationships/hyperlink" Target="https://www.codecogs.com/eqnedit.php?latex=(x_i-%20%5Cbar%7Bx%7D)#0" TargetMode="External"/><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hyperlink" Target="https://www.codecogs.com/eqnedit.php?latex=(x_i-%20%5Cbar%7Bx%7D)%20%5Ccdot%20(y_i-%20%5Cbar%7By%7D)#0" TargetMode="External"/><Relationship Id="rId6" Type="http://schemas.openxmlformats.org/officeDocument/2006/relationships/customXml" Target="../customXML/item1.xml"/><Relationship Id="rId18" Type="http://schemas.openxmlformats.org/officeDocument/2006/relationships/hyperlink" Target="https://www.codecogs.com/eqnedit.php?latex=(y_i-%20%5Cbar%7By%7D)#0" TargetMode="External"/><Relationship Id="rId7" Type="http://schemas.openxmlformats.org/officeDocument/2006/relationships/image" Target="media/image7.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10" Type="http://schemas.openxmlformats.org/officeDocument/2006/relationships/font" Target="fonts/GillSans-bold.ttf"/><Relationship Id="rId9" Type="http://schemas.openxmlformats.org/officeDocument/2006/relationships/font" Target="fonts/GillSans-regular.ttf"/><Relationship Id="rId5" Type="http://schemas.openxmlformats.org/officeDocument/2006/relationships/font" Target="fonts/NunitoMedium-regular.ttf"/><Relationship Id="rId6" Type="http://schemas.openxmlformats.org/officeDocument/2006/relationships/font" Target="fonts/NunitoMedium-bold.ttf"/><Relationship Id="rId7" Type="http://schemas.openxmlformats.org/officeDocument/2006/relationships/font" Target="fonts/NunitoMedium-italic.ttf"/><Relationship Id="rId8" Type="http://schemas.openxmlformats.org/officeDocument/2006/relationships/font" Target="fonts/Nunito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o/zLEbESIFnLqRvWUMWaWq+6MA==">AMUW2mWOJzHm1dLHibbI1rscy+sM1m22Ou2gz9HRTgOZUiMWj9RO+llL5+euy1vnJ5U30c+Ed8HHIhYxTfXTM4pejCf5tYYo5YBIgVTNTEPvsfXwRm31EAM=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2022-10-14T20:29:00Z</dcterms:created>
  <dc:creator>Danny Garay</dc:creator>
</cp:coreProperties>
</file>