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Gill Sans" w:cs="Gill Sans" w:eastAsia="Gill Sans" w:hAnsi="Gill Sans"/>
          <w:color w:val="3b3838"/>
          <w:sz w:val="96"/>
          <w:szCs w:val="96"/>
        </w:rPr>
      </w:pPr>
      <w:r w:rsidDel="00000000" w:rsidR="00000000" w:rsidRPr="00000000">
        <w:rPr>
          <w:rFonts w:ascii="Gill Sans" w:cs="Gill Sans" w:eastAsia="Gill Sans" w:hAnsi="Gill Sans"/>
          <w:color w:val="3b3838"/>
          <w:sz w:val="96"/>
          <w:szCs w:val="9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-20473</wp:posOffset>
            </wp:positionH>
            <wp:positionV relativeFrom="page">
              <wp:posOffset>-28573</wp:posOffset>
            </wp:positionV>
            <wp:extent cx="7824979" cy="1249689"/>
            <wp:effectExtent b="0" l="0" r="0" t="0"/>
            <wp:wrapSquare wrapText="bothSides" distB="0" distT="0" distL="114300" distR="114300"/>
            <wp:docPr descr="Graphical user interface, application&#10;&#10;Description automatically generated" id="8" name="image2.jp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4979" cy="12496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Gill Sans" w:cs="Gill Sans" w:eastAsia="Gill Sans" w:hAnsi="Gill Sans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Fonts w:ascii="Nunito" w:cs="Nunito" w:eastAsia="Nunito" w:hAnsi="Nunito"/>
          <w:color w:val="3b3838"/>
          <w:sz w:val="96"/>
          <w:szCs w:val="96"/>
          <w:rtl w:val="0"/>
        </w:rPr>
        <w:t xml:space="preserve">Apuntes Unidad 1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Nunito" w:cs="Nunito" w:eastAsia="Nunito" w:hAnsi="Nunito"/>
          <w:color w:val="3b3838"/>
          <w:sz w:val="44"/>
          <w:szCs w:val="44"/>
        </w:rPr>
      </w:pPr>
      <w:r w:rsidDel="00000000" w:rsidR="00000000" w:rsidRPr="00000000">
        <w:rPr>
          <w:rFonts w:ascii="Nunito" w:cs="Nunito" w:eastAsia="Nunito" w:hAnsi="Nunito"/>
          <w:color w:val="3b3838"/>
          <w:sz w:val="44"/>
          <w:szCs w:val="44"/>
          <w:rtl w:val="0"/>
        </w:rPr>
        <w:t xml:space="preserve">Gráficos de dispersión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mc:AlternateContent>
          <mc:Choice Requires="wpg">
            <w:drawing>
              <wp:inline distB="114300" distT="114300" distL="114300" distR="114300">
                <wp:extent cx="3643313" cy="119421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1550" y="3775050"/>
                          <a:ext cx="1248900" cy="99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99999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643313" cy="119421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3313" cy="1194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Nunito" w:cs="Nunito" w:eastAsia="Nunito" w:hAnsi="Nunito"/>
          <w:color w:val="3b3838"/>
          <w:sz w:val="56"/>
          <w:szCs w:val="56"/>
        </w:rPr>
      </w:pP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-10948</wp:posOffset>
            </wp:positionH>
            <wp:positionV relativeFrom="page">
              <wp:posOffset>9529665</wp:posOffset>
            </wp:positionV>
            <wp:extent cx="7578563" cy="1316376"/>
            <wp:effectExtent b="0" l="0" r="0" t="0"/>
            <wp:wrapSquare wrapText="bothSides" distB="0" distT="0" distL="114300" distR="114300"/>
            <wp:docPr descr="Shape, arrow&#10;&#10;Description automatically generated" id="9" name="image4.jpg"/>
            <a:graphic>
              <a:graphicData uri="http://schemas.openxmlformats.org/drawingml/2006/picture">
                <pic:pic>
                  <pic:nvPicPr>
                    <pic:cNvPr descr="Shape, arrow&#10;&#10;Description automatically generated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8563" cy="1316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Nunito" w:cs="Nunito" w:eastAsia="Nunito" w:hAnsi="Nunito"/>
          <w:b w:val="1"/>
          <w:color w:val="3434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GRÁFICOS DE DISPERSIÓN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Para analizar la relación entre dos variables se usa otro tipo de gráfico llamado </w:t>
      </w: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gráfico de dispersión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 Esta representación gráfica también se conoce como </w:t>
      </w: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nube de puntos.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La diferencia de este gráfico con los anteriores es que en este se representan dos variables cuantitativas distintas, una en cada eje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coordenado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 En este gráfico, cada punto representa un par ordenado</w:t>
      </w:r>
      <w:r w:rsidDel="00000000" w:rsidR="00000000" w:rsidRPr="00000000">
        <w:rPr>
          <w:rFonts w:ascii="Nunito" w:cs="Nunito" w:eastAsia="Nunito" w:hAnsi="Nunito"/>
          <w:color w:val="434343"/>
          <w:sz w:val="24"/>
          <w:szCs w:val="24"/>
          <w:rtl w:val="0"/>
        </w:rPr>
        <w:t xml:space="preserve"> </w:t>
      </w:r>
      <m:oMath>
        <m:r>
          <w:rPr>
            <w:rFonts w:ascii="Nunito" w:cs="Nunito" w:eastAsia="Nunito" w:hAnsi="Nunito"/>
            <w:color w:val="434343"/>
            <w:sz w:val="30"/>
            <w:szCs w:val="30"/>
          </w:rPr>
          <m:t xml:space="preserve">(x,y</m:t>
        </m:r>
        <m:r>
          <w:rPr>
            <w:rFonts w:ascii="Nunito" w:cs="Nunito" w:eastAsia="Nunito" w:hAnsi="Nunito"/>
            <w:color w:val="434343"/>
            <w:sz w:val="28"/>
            <w:szCs w:val="28"/>
          </w:rPr>
          <m:t xml:space="preserve">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donde </w:t>
      </w: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 </w:t>
      </w: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y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son variables distintas que representan a un mismo individuo.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Nunito" w:cs="Nunito" w:eastAsia="Nunito" w:hAnsi="Nunito"/>
          <w:color w:val="434343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color w:val="434343"/>
          <w:sz w:val="18"/>
          <w:szCs w:val="18"/>
          <w:rtl w:val="0"/>
        </w:rPr>
        <w:t xml:space="preserve">Figura 1: Gráfico de dispersión entre la esperanza de vida y el PIB per cápita</w:t>
        <w:br w:type="textWrapping"/>
        <w:t xml:space="preserve">invertido en la salud de un país.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895350</wp:posOffset>
            </wp:positionH>
            <wp:positionV relativeFrom="paragraph">
              <wp:posOffset>57150</wp:posOffset>
            </wp:positionV>
            <wp:extent cx="3852863" cy="2565636"/>
            <wp:effectExtent b="0" l="0" r="0" t="0"/>
            <wp:wrapTopAndBottom distB="57150" distT="571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2863" cy="25656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Podemos notar que cada punto verde representa a un país, donde la componente en el eje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corresponde a su inversión en salud, mientras que el eje </w:t>
      </w: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y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toma el valor de la esperanza de vida.</w:t>
      </w:r>
    </w:p>
    <w:p w:rsidR="00000000" w:rsidDel="00000000" w:rsidP="00000000" w:rsidRDefault="00000000" w:rsidRPr="00000000" w14:paraId="00000016">
      <w:pPr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br w:type="textWrapping"/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En algunas ocasiones podemos toparnos con que gran parte de los datos siguen una clara tendencia, pero a su vez, existen algunos valores que están muy lejos de la línea de tendencia. A continuación, estudiaremos la definición de estos datos y cómo identificarlos.</w:t>
      </w:r>
    </w:p>
    <w:p w:rsidR="00000000" w:rsidDel="00000000" w:rsidP="00000000" w:rsidRDefault="00000000" w:rsidRPr="00000000" w14:paraId="00000017">
      <w:pPr>
        <w:spacing w:after="160" w:line="276" w:lineRule="auto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76" w:lineRule="auto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DATOS ATÍPICOS EN UN GRÁFICO DE DISPERSIÓN</w:t>
      </w:r>
    </w:p>
    <w:p w:rsidR="00000000" w:rsidDel="00000000" w:rsidP="00000000" w:rsidRDefault="00000000" w:rsidRPr="00000000" w14:paraId="00000019">
      <w:pPr>
        <w:spacing w:after="160"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Un valor o dato atípico es una observación extrema que no sigue el patrón o la tendencia general del resto de los datos. En un gráfico de dispersión, los datos atípicos son, en general, aquellos que se encuentran alejados del resto de las observaciones.</w:t>
      </w:r>
    </w:p>
    <w:p w:rsidR="00000000" w:rsidDel="00000000" w:rsidP="00000000" w:rsidRDefault="00000000" w:rsidRPr="00000000" w14:paraId="0000001A">
      <w:pPr>
        <w:spacing w:after="160"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76" w:lineRule="auto"/>
        <w:jc w:val="center"/>
        <w:rPr>
          <w:rFonts w:ascii="Nunito" w:cs="Nunito" w:eastAsia="Nunito" w:hAnsi="Nunito"/>
          <w:color w:val="434343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-556590</wp:posOffset>
            </wp:positionH>
            <wp:positionV relativeFrom="bottomMargin">
              <wp:align>top</wp:align>
            </wp:positionV>
            <wp:extent cx="8306435" cy="461645"/>
            <wp:effectExtent b="0" l="0" r="0" t="0"/>
            <wp:wrapSquare wrapText="bothSides" distB="0" distT="0" distL="114300" distR="11430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6435" cy="461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434343"/>
          <w:sz w:val="18"/>
          <w:szCs w:val="18"/>
          <w:rtl w:val="0"/>
        </w:rPr>
        <w:t xml:space="preserve">Figura 2:  Gráfico de dispersión con tendencia lineal con los datos atípicos encerrados en rojo.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1757363</wp:posOffset>
            </wp:positionH>
            <wp:positionV relativeFrom="paragraph">
              <wp:posOffset>60267</wp:posOffset>
            </wp:positionV>
            <wp:extent cx="2135085" cy="1876158"/>
            <wp:effectExtent b="0" l="0" r="0" t="0"/>
            <wp:wrapTopAndBottom distB="57150" distT="5715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5085" cy="1876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widowControl w:val="0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SÍNTESIS</w:t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Los gráficos de dispersión, también llamados nube de puntos, se utilizan cuando se quiere estudiar si existe relación entre dos variables cuantitativas.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En los gráficos de dispersión, cada punto representa un par ordenado </w:t>
      </w:r>
      <m:oMath>
        <m:r>
          <w:rPr>
            <w:rFonts w:ascii="Nunito" w:cs="Nunito" w:eastAsia="Nunito" w:hAnsi="Nunito"/>
            <w:color w:val="434343"/>
          </w:rPr>
          <m:t xml:space="preserve">(x,y)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donde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 </w:t>
      </w:r>
      <m:oMath>
        <m:r>
          <w:rPr>
            <w:rFonts w:ascii="Nunito" w:cs="Nunito" w:eastAsia="Nunito" w:hAnsi="Nunito"/>
            <w:color w:val="434343"/>
          </w:rPr>
          <m:t xml:space="preserve">y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corresponden a los valores de las variables que identifican a un mismo individuo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Un valor o dato atípico en un gráfico de dispersión es una observación que </w:t>
      </w: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no sigue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el patrón o la tendencia de la mayoría de los datos.</w:t>
        <w:br w:type="textWrapping"/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Gill Sans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Curso: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Probabilidad y estadística descriptiva</w:t>
    </w:r>
  </w:p>
  <w:p w:rsidR="00000000" w:rsidDel="00000000" w:rsidP="00000000" w:rsidRDefault="00000000" w:rsidRPr="00000000" w14:paraId="00000024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Unidad 1 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¿Qué dicen los gráficos? Análisis crítico de la información</w:t>
    </w:r>
  </w:p>
  <w:p w:rsidR="00000000" w:rsidDel="00000000" w:rsidP="00000000" w:rsidRDefault="00000000" w:rsidRPr="00000000" w14:paraId="00000025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Tema: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Gráficos de dispersión y correlaciones</w:t>
    </w:r>
  </w:p>
  <w:p w:rsidR="00000000" w:rsidDel="00000000" w:rsidP="00000000" w:rsidRDefault="00000000" w:rsidRPr="00000000" w14:paraId="00000026">
    <w:pPr>
      <w:jc w:val="both"/>
      <w:rPr>
        <w:color w:val="999999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Contenido: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Gráficos de dispersión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CB1990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B1990"/>
  </w:style>
  <w:style w:type="paragraph" w:styleId="Piedepgina">
    <w:name w:val="footer"/>
    <w:basedOn w:val="Normal"/>
    <w:link w:val="PiedepginaCar"/>
    <w:uiPriority w:val="99"/>
    <w:unhideWhenUsed w:val="1"/>
    <w:rsid w:val="00CB1990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B199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5.png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0" Type="http://schemas.openxmlformats.org/officeDocument/2006/relationships/font" Target="fonts/GillSans-bold.ttf"/><Relationship Id="rId9" Type="http://schemas.openxmlformats.org/officeDocument/2006/relationships/font" Target="fonts/GillSans-regular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8TFZQ5FZuFmi9bZdmrTg2FSNnw==">AMUW2mXQ3FaW6jUEJkW5IFvH9+GVzcJZdobxsf3rrTBi4/ZSuHu0WFFArjEsgT0VyV/PdgEWWXtDcw2KWmgkCZnhF/yiP6ll3aygzPCnXrMm7jWVX8yfLzE=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2022-10-14T20:59:00Z</dcterms:created>
  <dc:creator>Danny Garay</dc:creator>
</cp:coreProperties>
</file>