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1 - LDI)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Unidad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Recursos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1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Modelos funcionales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Modelos lineales y afines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Apuntes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Interactivos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Modelos cuadráticos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color w:val="ff0000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color w:val="ff0000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shd w:fill="cfe2f3" w:val="clear"/>
                <w:rtl w:val="0"/>
              </w:rPr>
              <w:t xml:space="preserve">Otras funciones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color w:val="ff0000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shd w:fill="cfe2f3" w:val="clear"/>
                <w:rtl w:val="0"/>
              </w:rPr>
              <w:t xml:space="preserve">Funciones definidas por parte y funciones racionales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Nociones de funciones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Dominio, codominio y recorrido de una función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Composición de funciones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Función inversa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Análisis de funciones con GeoGebra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Introducción a GeoGebra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Análisis de funciones con GeoGebra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El proceso de modelamiento matemático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hd w:fill="cfe2f3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hd w:fill="cfe2f3" w:val="clear"/>
                <w:rtl w:val="0"/>
              </w:rPr>
              <w:t xml:space="preserve">El proceso de modelamiento matemático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Asignatura: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Límite, derivadas e integrales</w:t>
    </w:r>
  </w:p>
  <w:p w:rsidR="00000000" w:rsidDel="00000000" w:rsidP="00000000" w:rsidRDefault="00000000" w:rsidRPr="00000000" w14:paraId="0000003E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Nivel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: 3° y 4° medio</w:t>
    </w:r>
  </w:p>
  <w:p w:rsidR="00000000" w:rsidDel="00000000" w:rsidP="00000000" w:rsidRDefault="00000000" w:rsidRPr="00000000" w14:paraId="0000003F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1 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Representar y modelar situaciones de cambio por medio de funciones</w:t>
    </w:r>
  </w:p>
  <w:p w:rsidR="00000000" w:rsidDel="00000000" w:rsidP="00000000" w:rsidRDefault="00000000" w:rsidRPr="00000000" w14:paraId="00000040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Modelos funcionales</w:t>
    </w:r>
  </w:p>
  <w:p w:rsidR="00000000" w:rsidDel="00000000" w:rsidP="00000000" w:rsidRDefault="00000000" w:rsidRPr="00000000" w14:paraId="00000041">
    <w:pPr>
      <w:ind w:left="0" w:firstLine="0"/>
      <w:jc w:val="both"/>
      <w:rPr>
        <w:b w:val="1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Modelos lineales.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