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color w:val="433b72"/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Hoja de Actividades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Calibri" w:cs="Calibri" w:eastAsia="Calibri" w:hAnsi="Calibri"/>
          <w:color w:val="433b72"/>
          <w:sz w:val="28"/>
          <w:szCs w:val="28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Calefaccionando el hogar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Nunito" w:cs="Nunito" w:eastAsia="Nunito" w:hAnsi="Nunito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Contexto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Nunito" w:cs="Nunito" w:eastAsia="Nunito" w:hAnsi="Nunito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Calibri" w:cs="Calibri" w:eastAsia="Calibri" w:hAnsi="Calibri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11111"/>
          <w:sz w:val="24"/>
          <w:szCs w:val="24"/>
          <w:rtl w:val="0"/>
        </w:rPr>
        <w:t xml:space="preserve">Considera la siguiente información: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Nunito" w:cs="Nunito" w:eastAsia="Nunito" w:hAnsi="Nunito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0"/>
          <w:trHeight w:val="5208.515625" w:hRule="atLeast"/>
          <w:tblHeader w:val="0"/>
        </w:trPr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 encargó un estudio para evaluar el consumo de parafina en los meses de invierno en una ciudad del sur de Chile. Para ello, se eligió una muestra de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30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hogares, y se recopilaron datos de las siguientes variables:</w:t>
            </w:r>
          </w:p>
          <w:p w:rsidR="00000000" w:rsidDel="00000000" w:rsidP="00000000" w:rsidRDefault="00000000" w:rsidRPr="00000000" w14:paraId="00000009">
            <w:pPr>
              <w:widowControl w:val="0"/>
              <w:spacing w:before="0" w:lineRule="auto"/>
              <w:jc w:val="both"/>
              <w:rPr>
                <w:rFonts w:ascii="Calibri" w:cs="Calibri" w:eastAsia="Calibri" w:hAnsi="Calibri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455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735"/>
              <w:gridCol w:w="3720"/>
              <w:tblGridChange w:id="0">
                <w:tblGrid>
                  <w:gridCol w:w="3735"/>
                  <w:gridCol w:w="3720"/>
                </w:tblGrid>
              </w:tblGridChange>
            </w:tblGrid>
            <w:tr>
              <w:trPr>
                <w:cantSplit w:val="0"/>
                <w:trHeight w:val="851.04" w:hRule="atLeast"/>
                <w:tblHeader w:val="0"/>
              </w:trPr>
              <w:tc>
                <w:tcPr>
                  <w:tcBorders>
                    <w:top w:color="60b698" w:space="0" w:sz="8" w:val="single"/>
                    <w:left w:color="60b698" w:space="0" w:sz="8" w:val="single"/>
                    <w:bottom w:color="60b698" w:space="0" w:sz="8" w:val="single"/>
                    <w:right w:color="60b698" w:space="0" w:sz="8" w:val="single"/>
                  </w:tcBorders>
                  <w:shd w:fill="c0e2d7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0A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Consumo semanal de parafina</w:t>
                  </w:r>
                </w:p>
              </w:tc>
              <w:tc>
                <w:tcPr>
                  <w:tcBorders>
                    <w:top w:color="60b698" w:space="0" w:sz="8" w:val="single"/>
                    <w:left w:color="60b698" w:space="0" w:sz="8" w:val="single"/>
                    <w:bottom w:color="60b698" w:space="0" w:sz="8" w:val="single"/>
                    <w:right w:color="60b698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0B">
                  <w:pPr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Cantidad de litros de parafina consumidos durante la semana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60b698" w:space="0" w:sz="8" w:val="single"/>
                    <w:left w:color="60b698" w:space="0" w:sz="8" w:val="single"/>
                    <w:bottom w:color="60b698" w:space="0" w:sz="8" w:val="single"/>
                    <w:right w:color="60b698" w:space="0" w:sz="8" w:val="single"/>
                  </w:tcBorders>
                  <w:shd w:fill="c0e2d7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0C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Superficie de la vivienda</w:t>
                  </w:r>
                </w:p>
              </w:tc>
              <w:tc>
                <w:tcPr>
                  <w:tcBorders>
                    <w:top w:color="60b698" w:space="0" w:sz="8" w:val="single"/>
                    <w:left w:color="60b698" w:space="0" w:sz="8" w:val="single"/>
                    <w:bottom w:color="60b698" w:space="0" w:sz="8" w:val="single"/>
                    <w:right w:color="60b698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0D">
                  <w:pPr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Cantidad de metros cuadrados construidos de la vivienda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60b698" w:space="0" w:sz="8" w:val="single"/>
                    <w:left w:color="60b698" w:space="0" w:sz="8" w:val="single"/>
                    <w:bottom w:color="60b698" w:space="0" w:sz="8" w:val="single"/>
                    <w:right w:color="60b698" w:space="0" w:sz="8" w:val="single"/>
                  </w:tcBorders>
                  <w:shd w:fill="c0e2d7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0E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Temperatura promedio semanal</w:t>
                  </w:r>
                </w:p>
              </w:tc>
              <w:tc>
                <w:tcPr>
                  <w:tcBorders>
                    <w:top w:color="60b698" w:space="0" w:sz="8" w:val="single"/>
                    <w:left w:color="60b698" w:space="0" w:sz="8" w:val="single"/>
                    <w:bottom w:color="60b698" w:space="0" w:sz="8" w:val="single"/>
                    <w:right w:color="60b698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0F">
                  <w:pPr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Promedio semanal de las temperaturas medias diarias</w:t>
                  </w:r>
                </w:p>
              </w:tc>
            </w:tr>
            <w:tr>
              <w:trPr>
                <w:cantSplit w:val="0"/>
                <w:trHeight w:val="399.696" w:hRule="atLeast"/>
                <w:tblHeader w:val="0"/>
              </w:trPr>
              <w:tc>
                <w:tcPr>
                  <w:tcBorders>
                    <w:top w:color="60b698" w:space="0" w:sz="8" w:val="single"/>
                    <w:left w:color="60b698" w:space="0" w:sz="8" w:val="single"/>
                    <w:bottom w:color="60b698" w:space="0" w:sz="8" w:val="single"/>
                    <w:right w:color="60b698" w:space="0" w:sz="8" w:val="single"/>
                  </w:tcBorders>
                  <w:shd w:fill="c0e2d7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10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Ocupación promedio de la vivienda</w:t>
                  </w:r>
                </w:p>
              </w:tc>
              <w:tc>
                <w:tcPr>
                  <w:tcBorders>
                    <w:top w:color="60b698" w:space="0" w:sz="8" w:val="single"/>
                    <w:left w:color="60b698" w:space="0" w:sz="8" w:val="single"/>
                    <w:bottom w:color="60b698" w:space="0" w:sz="8" w:val="single"/>
                    <w:right w:color="60b698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11">
                  <w:pPr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Promedio semanal de horas en la que hubo al menos una persona en la vivienda durante el día</w:t>
                  </w:r>
                </w:p>
              </w:tc>
            </w:tr>
          </w:tbl>
          <w:p w:rsidR="00000000" w:rsidDel="00000000" w:rsidP="00000000" w:rsidRDefault="00000000" w:rsidRPr="00000000" w14:paraId="00000012">
            <w:pPr>
              <w:widowControl w:val="0"/>
              <w:spacing w:before="240" w:lineRule="auto"/>
              <w:rPr>
                <w:rFonts w:ascii="Calibri" w:cs="Calibri" w:eastAsia="Calibri" w:hAnsi="Calibri"/>
                <w:b w:val="1"/>
                <w:color w:val="433b7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</w:t>
      </w: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Calibri" w:cs="Calibri" w:eastAsia="Calibri" w:hAnsi="Calibri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color w:val="11111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111111"/>
          <w:sz w:val="24"/>
          <w:szCs w:val="24"/>
          <w:rtl w:val="0"/>
        </w:rPr>
        <w:t xml:space="preserve">¿Cuál de las variables crees que puede estar más relacionada con el consumo semanal de parafina?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2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both"/>
        <w:rPr>
          <w:rFonts w:ascii="Calibri" w:cs="Calibri" w:eastAsia="Calibri" w:hAnsi="Calibri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both"/>
        <w:rPr>
          <w:rFonts w:ascii="Calibri" w:cs="Calibri" w:eastAsia="Calibri" w:hAnsi="Calibri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11111"/>
          <w:sz w:val="24"/>
          <w:szCs w:val="24"/>
          <w:rtl w:val="0"/>
        </w:rPr>
        <w:t xml:space="preserve">A partir del estudio ya descrito, se graficó el consumo de parafina en relación con cada una de las otras variables. Observa los gráficos a continuación: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center"/>
        <w:rPr>
          <w:rFonts w:ascii="Nunito" w:cs="Nunito" w:eastAsia="Nunito" w:hAnsi="Nunito"/>
          <w:color w:val="111111"/>
        </w:rPr>
      </w:pPr>
      <w:r w:rsidDel="00000000" w:rsidR="00000000" w:rsidRPr="00000000">
        <w:rPr>
          <w:rFonts w:ascii="Nunito" w:cs="Nunito" w:eastAsia="Nunito" w:hAnsi="Nunito"/>
          <w:color w:val="111111"/>
        </w:rPr>
        <w:drawing>
          <wp:inline distB="114300" distT="114300" distL="114300" distR="114300">
            <wp:extent cx="4033838" cy="2588126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3838" cy="25881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3890963" cy="2509125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90963" cy="2509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color w:val="111111"/>
        </w:rPr>
        <w:drawing>
          <wp:inline distB="114300" distT="114300" distL="114300" distR="114300">
            <wp:extent cx="3900488" cy="24117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00488" cy="241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3"/>
        </w:numPr>
        <w:spacing w:line="240" w:lineRule="auto"/>
        <w:ind w:left="720" w:hanging="360"/>
        <w:jc w:val="both"/>
        <w:rPr>
          <w:rFonts w:ascii="Calibri" w:cs="Calibri" w:eastAsia="Calibri" w:hAnsi="Calibri"/>
          <w:color w:val="11111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111111"/>
          <w:sz w:val="24"/>
          <w:szCs w:val="24"/>
          <w:rtl w:val="0"/>
        </w:rPr>
        <w:t xml:space="preserve">Considerando los gráficos, ¿se puede establecer cuál de las variables está más relacionada con el consumo semanal de parafina? ¿Por qué?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3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Observa el siguiente gráfico: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240" w:befor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</w:rPr>
        <w:drawing>
          <wp:inline distB="114300" distT="114300" distL="114300" distR="114300">
            <wp:extent cx="4878225" cy="3307419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78225" cy="33074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partir del gráfico anterior, c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ompleta la siguiente tabla, siguiendo el ejemplo y luego pinta de color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rojo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los puntos cuyos productos de sus diferencias son negativos y con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azul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los positivos </w:t>
      </w:r>
    </w:p>
    <w:p w:rsidR="00000000" w:rsidDel="00000000" w:rsidP="00000000" w:rsidRDefault="00000000" w:rsidRPr="00000000" w14:paraId="0000002E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8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0"/>
        <w:gridCol w:w="4725"/>
        <w:gridCol w:w="1500"/>
        <w:gridCol w:w="1500"/>
        <w:gridCol w:w="1500"/>
        <w:tblGridChange w:id="0">
          <w:tblGrid>
            <w:gridCol w:w="2610"/>
            <w:gridCol w:w="4725"/>
            <w:gridCol w:w="1500"/>
            <w:gridCol w:w="1500"/>
            <w:gridCol w:w="1500"/>
          </w:tblGrid>
        </w:tblGridChange>
      </w:tblGrid>
      <w:tr>
        <w:trPr>
          <w:cantSplit w:val="0"/>
          <w:trHeight w:val="632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shd w:fill="c0e2d7" w:val="clear"/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Puntos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d>
                <m:dPr>
                  <m:begChr m:val="("/>
                  <m:endChr m:val=")"/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 xml:space="preserve">i</m:t>
                      </m:r>
                    </m:sub>
                  </m:sSub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 xml:space="preserve">y</m:t>
                      </m:r>
                    </m:e>
                    <m:sub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 xml:space="preserve">1</m:t>
                      </m:r>
                    </m:sub>
                  </m:sSub>
                </m:e>
              </m:d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shd w:fill="c0e2d7" w:val="clear"/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Producto de las diferencias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d>
                <m:dPr>
                  <m:begChr m:val="("/>
                  <m:endChr m:val=")"/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 xml:space="preserve">i</m:t>
                      </m:r>
                    </m:sub>
                  </m:sSub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-</m:t>
                  </m:r>
                  <m:acc>
                    <m:accPr>
                      <m:chr m:val="̄"/>
                      <m:ctrlP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 xml:space="preserve">x</m:t>
                      </m:r>
                    </m:e>
                  </m:acc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 xml:space="preserve">y</m:t>
                      </m:r>
                    </m:e>
                    <m:sub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 xml:space="preserve">i</m:t>
                      </m:r>
                    </m:sub>
                  </m:sSub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-</m:t>
                  </m:r>
                  <m:acc>
                    <m:accPr>
                      <m:chr m:val="̄"/>
                      <m:ctrlP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 xml:space="preserve">y</m:t>
                      </m:r>
                    </m:e>
                  </m:acc>
                </m:e>
              </m:d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.4330708661417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d>
                <m:dPr>
                  <m:begChr m:val="("/>
                  <m:endChr m:val=")"/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1, 7</m:t>
                  </m:r>
                </m:e>
              </m:d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m:oMath>
              <m:d>
                <m:dPr>
                  <m:begChr m:val="("/>
                  <m:endChr m:val=")"/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1-4</m:t>
                  </m:r>
                </m:e>
              </m:d>
              <m:r>
                <w:rPr>
                  <w:rFonts w:ascii="Calibri" w:cs="Calibri" w:eastAsia="Calibri" w:hAnsi="Calibri"/>
                  <w:sz w:val="24"/>
                  <w:szCs w:val="24"/>
                </w:rPr>
                <m:t>⋅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(7-5)=-3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>⋅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2=-6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m:oMath>
              <m:d>
                <m:dPr>
                  <m:begChr m:val="("/>
                  <m:endChr m:val=")"/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5, 3</m:t>
                  </m:r>
                </m:e>
              </m:d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m:oMath>
              <m:d>
                <m:dPr>
                  <m:begChr m:val="("/>
                  <m:endChr m:val=")"/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6, 4</m:t>
                  </m:r>
                </m:e>
              </m:d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m:oMath>
              <m:d>
                <m:dPr>
                  <m:begChr m:val="("/>
                  <m:endChr m:val=")"/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7, 5</m:t>
                  </m:r>
                </m:e>
              </m:d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m:oMath>
              <m:d>
                <m:dPr>
                  <m:begChr m:val="("/>
                  <m:endChr m:val=")"/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5, 6</m:t>
                  </m:r>
                </m:e>
              </m:d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m:oMath>
              <m:d>
                <m:dPr>
                  <m:begChr m:val="("/>
                  <m:endChr m:val=")"/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6, 8</m:t>
                  </m:r>
                </m:e>
              </m:d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m:oMath>
              <m:d>
                <m:dPr>
                  <m:begChr m:val="("/>
                  <m:endChr m:val=")"/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3, 7</m:t>
                  </m:r>
                </m:e>
              </m:d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m:oMath>
              <m:d>
                <m:dPr>
                  <m:begChr m:val="("/>
                  <m:endChr m:val=")"/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1, 2</m:t>
                  </m:r>
                </m:e>
              </m:d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m:oMath>
              <m:d>
                <m:dPr>
                  <m:begChr m:val="("/>
                  <m:endChr m:val=")"/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2, 3</m:t>
                  </m:r>
                </m:e>
              </m:d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numPr>
          <w:ilvl w:val="0"/>
          <w:numId w:val="4"/>
        </w:numPr>
        <w:spacing w:after="240" w:befor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¿Qué se puede decir de la ubicación de los puntos en los cuadrantes para este gráfico? </w:t>
      </w:r>
    </w:p>
    <w:p w:rsidR="00000000" w:rsidDel="00000000" w:rsidP="00000000" w:rsidRDefault="00000000" w:rsidRPr="00000000" w14:paraId="00000046">
      <w:pPr>
        <w:widowControl w:val="0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4"/>
        </w:numPr>
        <w:spacing w:after="240" w:befor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¿Qué pasa con el producto de las diferencias respecto a las medias?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la siguiente tabla se resumen los valores de las suma de productos de las diferencias con las medias  para cada uno de los gráficos antes revisados. 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856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85"/>
        <w:gridCol w:w="2880"/>
        <w:gridCol w:w="1697"/>
        <w:gridCol w:w="1697"/>
        <w:gridCol w:w="1697"/>
        <w:tblGridChange w:id="0">
          <w:tblGrid>
            <w:gridCol w:w="3885"/>
            <w:gridCol w:w="2880"/>
            <w:gridCol w:w="1697"/>
            <w:gridCol w:w="1697"/>
            <w:gridCol w:w="1697"/>
          </w:tblGrid>
        </w:tblGridChange>
      </w:tblGrid>
      <w:tr>
        <w:trPr>
          <w:cantSplit w:val="0"/>
          <w:trHeight w:val="632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shd w:fill="c0e2d7" w:val="clear"/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Variables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shd w:fill="c0e2d7" w:val="clear"/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Suma de productos</w:t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 = superficie del hogar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 = consumo semanal de parafina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2801,2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 = temperatura promedio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 = consumo semanal de parafina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-377,74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 = ocupación de la vivienda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 = consumo semanal de parafina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345,77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1"/>
        </w:numPr>
        <w:spacing w:befor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Observando los gráficos y la suma de productos para los tres casos:  ¿En cuál de ellos pareciera que los datos se agrupan más sobre una recta?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before="240" w:lineRule="auto"/>
        <w:jc w:val="both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before="240" w:lineRule="auto"/>
        <w:jc w:val="both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before="240" w:lineRule="auto"/>
        <w:jc w:val="both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before="240" w:lineRule="auto"/>
        <w:jc w:val="both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before="240" w:lineRule="auto"/>
        <w:jc w:val="both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before="240" w:lineRule="auto"/>
        <w:jc w:val="both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before="240" w:lineRule="auto"/>
        <w:jc w:val="both"/>
        <w:rPr>
          <w:rFonts w:ascii="Calibri" w:cs="Calibri" w:eastAsia="Calibri" w:hAnsi="Calibri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11111"/>
          <w:sz w:val="24"/>
          <w:szCs w:val="24"/>
          <w:rtl w:val="0"/>
        </w:rPr>
        <w:t xml:space="preserve">A continuación se muestra el cálculo del coeficiente de correlación </w:t>
      </w:r>
      <m:oMath>
        <m:r>
          <w:rPr>
            <w:rFonts w:ascii="Calibri" w:cs="Calibri" w:eastAsia="Calibri" w:hAnsi="Calibri"/>
            <w:color w:val="111111"/>
            <w:sz w:val="24"/>
            <w:szCs w:val="24"/>
          </w:rPr>
          <m:t xml:space="preserve">r</m:t>
        </m:r>
      </m:oMath>
      <w:r w:rsidDel="00000000" w:rsidR="00000000" w:rsidRPr="00000000">
        <w:rPr>
          <w:rFonts w:ascii="Calibri" w:cs="Calibri" w:eastAsia="Calibri" w:hAnsi="Calibri"/>
          <w:color w:val="111111"/>
          <w:sz w:val="24"/>
          <w:szCs w:val="24"/>
          <w:rtl w:val="0"/>
        </w:rPr>
        <w:t xml:space="preserve"> de las variables que estamos trabajando: 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10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10"/>
        <w:gridCol w:w="2775"/>
        <w:gridCol w:w="1500"/>
        <w:gridCol w:w="1500"/>
        <w:gridCol w:w="1500"/>
        <w:tblGridChange w:id="0">
          <w:tblGrid>
            <w:gridCol w:w="3810"/>
            <w:gridCol w:w="2775"/>
            <w:gridCol w:w="1500"/>
            <w:gridCol w:w="1500"/>
            <w:gridCol w:w="1500"/>
          </w:tblGrid>
        </w:tblGridChange>
      </w:tblGrid>
      <w:tr>
        <w:trPr>
          <w:cantSplit w:val="0"/>
          <w:trHeight w:val="632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shd w:fill="c0e2d7" w:val="clear"/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Variables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shd w:fill="c0e2d7" w:val="clear"/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Suma de productos</w:t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 = superficie del hogar</w:t>
            </w:r>
          </w:p>
          <w:p w:rsidR="00000000" w:rsidDel="00000000" w:rsidP="00000000" w:rsidRDefault="00000000" w:rsidRPr="00000000" w14:paraId="0000006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 = consumo semanal de parafina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0,782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 = temperatura promedio</w:t>
            </w:r>
          </w:p>
          <w:p w:rsidR="00000000" w:rsidDel="00000000" w:rsidP="00000000" w:rsidRDefault="00000000" w:rsidRPr="00000000" w14:paraId="0000006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 = consumo semanal de parafina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-0,915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 = ocupación de la vivienda</w:t>
            </w:r>
          </w:p>
          <w:p w:rsidR="00000000" w:rsidDel="00000000" w:rsidP="00000000" w:rsidRDefault="00000000" w:rsidRPr="00000000" w14:paraId="0000007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 = consumo semanal de parafina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0,644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widowControl w:val="0"/>
        <w:numPr>
          <w:ilvl w:val="0"/>
          <w:numId w:val="1"/>
        </w:numPr>
        <w:spacing w:before="240" w:lineRule="auto"/>
        <w:ind w:left="720" w:hanging="360"/>
        <w:jc w:val="both"/>
        <w:rPr>
          <w:rFonts w:ascii="Calibri" w:cs="Calibri" w:eastAsia="Calibri" w:hAnsi="Calibri"/>
          <w:color w:val="11111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111111"/>
          <w:sz w:val="24"/>
          <w:szCs w:val="24"/>
          <w:rtl w:val="0"/>
        </w:rPr>
        <w:t xml:space="preserve">En base a estos valores y lo revisado durante la clase, ¿cuál es la variable más relacionada con el consumo semanal de parafina?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4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6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