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Estudio del peso de recién nacidos en Chile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firstLine="0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Parte I: Los pesos al nacer corresponden a una distribución normal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firstLine="0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firstLine="0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variable aleatoria definida como el peso al nacer es una variable que se distribuye de forma normal. Esto se representa en el siguiente gráfico: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</w:rPr>
        <w:drawing>
          <wp:inline distB="114300" distT="114300" distL="114300" distR="114300">
            <wp:extent cx="5331502" cy="3795134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1502" cy="37951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esta distribución 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promedio </w:t>
      </w:r>
      <m:oMath>
        <m:r>
          <m:t>μ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 igual a 3357,4 y 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desviación estándar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m:oMath>
        <m:r>
          <m:t>σ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 igual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518,4 . En base a esta información responde las siguientes preguntas: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¿Dónde se ubica aproximadamente la media de los pesos en el gráfico anterior?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Ubica en el gráfico los intervalos </w:t>
      </w:r>
      <m:oMath>
        <m:d>
          <m:dPr>
            <m:begChr m:val="["/>
            <m:endChr m:val="]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dPr>
          <m:e>
            <m:r>
              <m:t>μ</m:t>
            </m:r>
            <m:r>
              <w:rPr>
                <w:rFonts w:ascii="Calibri" w:cs="Calibri" w:eastAsia="Calibri" w:hAnsi="Calibri"/>
                <w:sz w:val="24"/>
                <w:szCs w:val="24"/>
              </w:rPr>
              <m:t xml:space="preserve">-</m:t>
            </m:r>
            <m:r>
              <w:rPr>
                <w:rFonts w:ascii="Calibri" w:cs="Calibri" w:eastAsia="Calibri" w:hAnsi="Calibri"/>
                <w:sz w:val="24"/>
                <w:szCs w:val="24"/>
              </w:rPr>
              <m:t>σ</m:t>
            </m:r>
            <m:r>
              <w:rPr>
                <w:rFonts w:ascii="Calibri" w:cs="Calibri" w:eastAsia="Calibri" w:hAnsi="Calibri"/>
                <w:sz w:val="24"/>
                <w:szCs w:val="24"/>
              </w:rPr>
              <m:t xml:space="preserve">,</m:t>
            </m:r>
            <m:r>
              <w:rPr>
                <w:rFonts w:ascii="Calibri" w:cs="Calibri" w:eastAsia="Calibri" w:hAnsi="Calibri"/>
                <w:sz w:val="24"/>
                <w:szCs w:val="24"/>
              </w:rPr>
              <m:t>μ</m:t>
            </m:r>
            <m:r>
              <w:rPr>
                <w:rFonts w:ascii="Calibri" w:cs="Calibri" w:eastAsia="Calibri" w:hAnsi="Calibri"/>
                <w:sz w:val="24"/>
                <w:szCs w:val="24"/>
              </w:rPr>
              <m:t xml:space="preserve">+</m:t>
            </m:r>
            <m:r>
              <w:rPr>
                <w:rFonts w:ascii="Calibri" w:cs="Calibri" w:eastAsia="Calibri" w:hAnsi="Calibri"/>
                <w:sz w:val="24"/>
                <w:szCs w:val="24"/>
              </w:rPr>
              <m:t>σ</m:t>
            </m:r>
            <m:r>
              <w:rPr>
                <w:rFonts w:ascii="Calibri" w:cs="Calibri" w:eastAsia="Calibri" w:hAnsi="Calibri"/>
                <w:sz w:val="24"/>
                <w:szCs w:val="24"/>
              </w:rPr>
              <m:t xml:space="preserve"> </m:t>
            </m:r>
          </m:e>
        </m: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</w:t>
      </w:r>
      <m:oMath>
        <m:d>
          <m:dPr>
            <m:begChr m:val="["/>
            <m:endChr m:val="]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dPr>
          <m:e>
            <m:r>
              <m:t>μ</m:t>
            </m:r>
            <m:r>
              <w:rPr>
                <w:rFonts w:ascii="Calibri" w:cs="Calibri" w:eastAsia="Calibri" w:hAnsi="Calibri"/>
                <w:sz w:val="24"/>
                <w:szCs w:val="24"/>
              </w:rPr>
              <m:t xml:space="preserve">-2</m:t>
            </m:r>
            <m:r>
              <w:rPr>
                <w:rFonts w:ascii="Calibri" w:cs="Calibri" w:eastAsia="Calibri" w:hAnsi="Calibri"/>
                <w:sz w:val="24"/>
                <w:szCs w:val="24"/>
              </w:rPr>
              <m:t>σ</m:t>
            </m:r>
            <m:r>
              <w:rPr>
                <w:rFonts w:ascii="Calibri" w:cs="Calibri" w:eastAsia="Calibri" w:hAnsi="Calibri"/>
                <w:sz w:val="24"/>
                <w:szCs w:val="24"/>
              </w:rPr>
              <m:t xml:space="preserve">,</m:t>
            </m:r>
            <m:r>
              <w:rPr>
                <w:rFonts w:ascii="Calibri" w:cs="Calibri" w:eastAsia="Calibri" w:hAnsi="Calibri"/>
                <w:sz w:val="24"/>
                <w:szCs w:val="24"/>
              </w:rPr>
              <m:t>μ</m:t>
            </m:r>
            <m:r>
              <w:rPr>
                <w:rFonts w:ascii="Calibri" w:cs="Calibri" w:eastAsia="Calibri" w:hAnsi="Calibri"/>
                <w:sz w:val="24"/>
                <w:szCs w:val="24"/>
              </w:rPr>
              <m:t xml:space="preserve">+2</m:t>
            </m:r>
            <m:r>
              <w:rPr>
                <w:rFonts w:ascii="Calibri" w:cs="Calibri" w:eastAsia="Calibri" w:hAnsi="Calibri"/>
                <w:sz w:val="24"/>
                <w:szCs w:val="24"/>
              </w:rPr>
              <m:t>σ</m:t>
            </m:r>
            <m:r>
              <w:rPr>
                <w:rFonts w:ascii="Calibri" w:cs="Calibri" w:eastAsia="Calibri" w:hAnsi="Calibri"/>
                <w:sz w:val="24"/>
                <w:szCs w:val="24"/>
              </w:rPr>
              <m:t xml:space="preserve"> </m:t>
            </m:r>
          </m:e>
        </m: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Luego, identifica gráficamente el área bajo la curva normal que delimitan estos intervalos.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cada intervalo, completa con el porcentaje de datos aproximado que se encuentra en cada intervalo.</w:t>
      </w:r>
      <w:r w:rsidDel="00000000" w:rsidR="00000000" w:rsidRPr="00000000">
        <w:rPr>
          <w:rtl w:val="0"/>
        </w:rPr>
      </w:r>
    </w:p>
    <w:tbl>
      <w:tblPr>
        <w:tblStyle w:val="Table1"/>
        <w:tblW w:w="74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930"/>
        <w:gridCol w:w="4525.000000000001"/>
        <w:tblGridChange w:id="0">
          <w:tblGrid>
            <w:gridCol w:w="2930"/>
            <w:gridCol w:w="4525.000000000001"/>
          </w:tblGrid>
        </w:tblGridChange>
      </w:tblGrid>
      <w:tr>
        <w:trPr>
          <w:cantSplit w:val="0"/>
          <w:trHeight w:val="366.2790697674419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60b79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Intervalo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60b79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Porcentaje de datos</w:t>
            </w:r>
          </w:p>
        </w:tc>
      </w:tr>
      <w:tr>
        <w:trPr>
          <w:cantSplit w:val="0"/>
          <w:trHeight w:val="175.18110236220474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c0e2d7" w:val="clear"/>
            <w:tcMar>
              <w:top w:w="220.0" w:type="dxa"/>
              <w:left w:w="220.0" w:type="dxa"/>
              <w:bottom w:w="22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m:t>μ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σ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,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μ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+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σ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0236220474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c0e2d7" w:val="clear"/>
            <w:tcMar>
              <w:top w:w="220.0" w:type="dxa"/>
              <w:left w:w="220.0" w:type="dxa"/>
              <w:bottom w:w="22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m:t>μ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-2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σ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,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μ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+2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σ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Parte II: Calculando probabilidades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Completa la tabla con los valores de </w:t>
      </w:r>
      <m:oMath>
        <m:r>
          <w:rPr>
            <w:rFonts w:ascii="Calibri" w:cs="Calibri" w:eastAsia="Calibri" w:hAnsi="Calibri"/>
          </w:rPr>
          <m:t xml:space="preserve">Z</m:t>
        </m:r>
      </m:oMath>
      <w:r w:rsidDel="00000000" w:rsidR="00000000" w:rsidRPr="00000000">
        <w:rPr>
          <w:rFonts w:ascii="Calibri" w:cs="Calibri" w:eastAsia="Calibri" w:hAnsi="Calibri"/>
          <w:rtl w:val="0"/>
        </w:rPr>
        <w:t xml:space="preserve"> (aproximando a 2 decimales) para los pesos usando el cambio de variable: </w:t>
      </w:r>
      <m:oMath>
        <m:r>
          <w:rPr>
            <w:rFonts w:ascii="Calibri" w:cs="Calibri" w:eastAsia="Calibri" w:hAnsi="Calibri"/>
          </w:rPr>
          <m:t xml:space="preserve">Z=</m:t>
        </m:r>
        <m:f>
          <m:fPr>
            <m:ctrlPr>
              <w:rPr>
                <w:rFonts w:ascii="Calibri" w:cs="Calibri" w:eastAsia="Calibri" w:hAnsi="Calibri"/>
              </w:rPr>
            </m:ctrlPr>
          </m:fPr>
          <m:num>
            <m:r>
              <w:rPr>
                <w:rFonts w:ascii="Calibri" w:cs="Calibri" w:eastAsia="Calibri" w:hAnsi="Calibri"/>
              </w:rPr>
              <m:t xml:space="preserve">X - </m:t>
            </m:r>
            <m:r>
              <w:rPr>
                <w:rFonts w:ascii="Calibri" w:cs="Calibri" w:eastAsia="Calibri" w:hAnsi="Calibri"/>
              </w:rPr>
              <m:t>μ</m:t>
            </m:r>
          </m:num>
          <m:den>
            <m:r>
              <w:rPr>
                <w:rFonts w:ascii="Calibri" w:cs="Calibri" w:eastAsia="Calibri" w:hAnsi="Calibri"/>
              </w:rPr>
              <m:t>σ</m:t>
            </m:r>
          </m:den>
        </m:f>
      </m:oMath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7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295"/>
        <w:gridCol w:w="3405"/>
        <w:tblGridChange w:id="0">
          <w:tblGrid>
            <w:gridCol w:w="2295"/>
            <w:gridCol w:w="3405"/>
          </w:tblGrid>
        </w:tblGridChange>
      </w:tblGrid>
      <w:tr>
        <w:trPr>
          <w:cantSplit w:val="0"/>
          <w:trHeight w:val="366.2790697674419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60b79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b w:val="1"/>
                  <w:color w:val="ffffff"/>
                  <w:sz w:val="24"/>
                  <w:szCs w:val="24"/>
                </w:rPr>
                <m:t xml:space="preserve">X</m:t>
              </m:r>
            </m:oMath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 gramos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60b79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b w:val="1"/>
                  <w:color w:val="ffffff"/>
                  <w:sz w:val="24"/>
                  <w:szCs w:val="24"/>
                </w:rPr>
                <m:t xml:space="preserve">Z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8604651162791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c0e2d7" w:val="clear"/>
            <w:tcMar>
              <w:top w:w="220.0" w:type="dxa"/>
              <w:left w:w="220.0" w:type="dxa"/>
              <w:bottom w:w="22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2000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8604651162791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c0e2d7" w:val="clear"/>
            <w:tcMar>
              <w:top w:w="220.0" w:type="dxa"/>
              <w:left w:w="220.0" w:type="dxa"/>
              <w:bottom w:w="22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2500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8604651162791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c0e2d7" w:val="clear"/>
            <w:tcMar>
              <w:top w:w="220.0" w:type="dxa"/>
              <w:left w:w="220.0" w:type="dxa"/>
              <w:bottom w:w="22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3357,4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8604651162791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c0e2d7" w:val="clear"/>
            <w:tcMar>
              <w:top w:w="220.0" w:type="dxa"/>
              <w:left w:w="220.0" w:type="dxa"/>
              <w:bottom w:w="22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4000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Utilizando la tabla de áreas de la normal estandarizada, responde las siguientes preguntas:</w:t>
      </w:r>
    </w:p>
    <w:p w:rsidR="00000000" w:rsidDel="00000000" w:rsidP="00000000" w:rsidRDefault="00000000" w:rsidRPr="00000000" w14:paraId="00000027">
      <w:pPr>
        <w:spacing w:after="160"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¿Cuál es la probabilidad de que al escoger un recién nacido al azar su peso se encuentre entre 2500 y 4000 gramos?</w:t>
      </w:r>
    </w:p>
    <w:p w:rsidR="00000000" w:rsidDel="00000000" w:rsidP="00000000" w:rsidRDefault="00000000" w:rsidRPr="00000000" w14:paraId="00000028">
      <w:pPr>
        <w:spacing w:after="160"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¿Cuál es la probabilidad de que al escoger un recién nacido al azar su peso sea menor a 2500 gramos?</w:t>
      </w:r>
    </w:p>
    <w:p w:rsidR="00000000" w:rsidDel="00000000" w:rsidP="00000000" w:rsidRDefault="00000000" w:rsidRPr="00000000" w14:paraId="0000002B">
      <w:pPr>
        <w:spacing w:after="160"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ind w:left="72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¿Qué te parecen los valores obtenidos?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>
        <w:b w:val="0"/>
        <w:i w:val="0"/>
      </w:rPr>
      <w:tcPr/>
    </w:tblStylePr>
    <w:tblStylePr w:type="band1Vert">
      <w:pPr/>
      <w:rPr>
        <w:b w:val="0"/>
        <w:i w:val="0"/>
      </w:rPr>
      <w:tcPr/>
    </w:tblStylePr>
    <w:tblStylePr w:type="band2Horz">
      <w:pPr/>
      <w:rPr>
        <w:b w:val="0"/>
        <w:i w:val="0"/>
      </w:rPr>
      <w:tcPr/>
    </w:tblStylePr>
    <w:tblStylePr w:type="band2Vert">
      <w:pPr/>
      <w:rPr>
        <w:b w:val="0"/>
        <w:i w:val="0"/>
      </w:rPr>
      <w:tcPr/>
    </w:tblStylePr>
    <w:tblStylePr w:type="firstCol">
      <w:pPr/>
      <w:rPr>
        <w:b w:val="0"/>
        <w:i w:val="0"/>
      </w:rPr>
      <w:tcPr/>
    </w:tblStylePr>
    <w:tblStylePr w:type="firstRow">
      <w:pPr/>
      <w:rPr>
        <w:b w:val="0"/>
        <w:i w:val="0"/>
      </w:rPr>
      <w:tcPr/>
    </w:tblStylePr>
    <w:tblStylePr w:type="lastCol">
      <w:pPr/>
      <w:rPr>
        <w:b w:val="0"/>
        <w:i w:val="0"/>
      </w:rPr>
      <w:tcPr/>
    </w:tblStylePr>
    <w:tblStylePr w:type="lastRow">
      <w:pPr/>
      <w:rPr>
        <w:b w:val="0"/>
        <w:i w:val="0"/>
      </w:rPr>
      <w:tcPr/>
    </w:tblStylePr>
    <w:tblStylePr w:type="neCell">
      <w:pPr/>
      <w:rPr>
        <w:b w:val="0"/>
        <w:i w:val="0"/>
      </w:rPr>
      <w:tcPr/>
    </w:tblStylePr>
    <w:tblStylePr w:type="nwCell">
      <w:pPr/>
      <w:rPr>
        <w:b w:val="0"/>
        <w:i w:val="0"/>
      </w:rPr>
      <w:tcPr/>
    </w:tblStylePr>
    <w:tblStylePr w:type="seCell">
      <w:pPr/>
      <w:rPr>
        <w:b w:val="0"/>
        <w:i w:val="0"/>
      </w:rPr>
      <w:tcPr/>
    </w:tblStylePr>
    <w:tblStylePr w:type="swCell">
      <w:pPr/>
      <w:rPr>
        <w:b w:val="0"/>
        <w:i w:val="0"/>
      </w:rPr>
      <w:tcPr/>
    </w:tblStylePr>
  </w:style>
  <w:style w:type="table" w:styleId="Table2">
    <w:basedOn w:val="TableNormal"/>
    <w:pPr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>
        <w:b w:val="0"/>
        <w:i w:val="0"/>
      </w:rPr>
      <w:tcPr/>
    </w:tblStylePr>
    <w:tblStylePr w:type="band1Vert">
      <w:pPr/>
      <w:rPr>
        <w:b w:val="0"/>
        <w:i w:val="0"/>
      </w:rPr>
      <w:tcPr/>
    </w:tblStylePr>
    <w:tblStylePr w:type="band2Horz">
      <w:pPr/>
      <w:rPr>
        <w:b w:val="0"/>
        <w:i w:val="0"/>
      </w:rPr>
      <w:tcPr/>
    </w:tblStylePr>
    <w:tblStylePr w:type="band2Vert">
      <w:pPr/>
      <w:rPr>
        <w:b w:val="0"/>
        <w:i w:val="0"/>
      </w:rPr>
      <w:tcPr/>
    </w:tblStylePr>
    <w:tblStylePr w:type="firstCol">
      <w:pPr/>
      <w:rPr>
        <w:b w:val="0"/>
        <w:i w:val="0"/>
      </w:rPr>
      <w:tcPr/>
    </w:tblStylePr>
    <w:tblStylePr w:type="firstRow">
      <w:pPr/>
      <w:rPr>
        <w:b w:val="0"/>
        <w:i w:val="0"/>
      </w:rPr>
      <w:tcPr/>
    </w:tblStylePr>
    <w:tblStylePr w:type="lastCol">
      <w:pPr/>
      <w:rPr>
        <w:b w:val="0"/>
        <w:i w:val="0"/>
      </w:rPr>
      <w:tcPr/>
    </w:tblStylePr>
    <w:tblStylePr w:type="lastRow">
      <w:pPr/>
      <w:rPr>
        <w:b w:val="0"/>
        <w:i w:val="0"/>
      </w:rPr>
      <w:tcPr/>
    </w:tblStylePr>
    <w:tblStylePr w:type="neCell">
      <w:pPr/>
      <w:rPr>
        <w:b w:val="0"/>
        <w:i w:val="0"/>
      </w:rPr>
      <w:tcPr/>
    </w:tblStylePr>
    <w:tblStylePr w:type="nwCell">
      <w:pPr/>
      <w:rPr>
        <w:b w:val="0"/>
        <w:i w:val="0"/>
      </w:rPr>
      <w:tcPr/>
    </w:tblStylePr>
    <w:tblStylePr w:type="seCell">
      <w:pPr/>
      <w:rPr>
        <w:b w:val="0"/>
        <w:i w:val="0"/>
      </w:rPr>
      <w:tcPr/>
    </w:tblStylePr>
    <w:tblStylePr w:type="swCell">
      <w:pPr/>
      <w:rPr>
        <w:b w:val="0"/>
        <w:i w:val="0"/>
      </w:rPr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