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</w:t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spacing w:after="160" w:line="259" w:lineRule="auto"/>
        <w:jc w:val="center"/>
        <w:rPr/>
      </w:pPr>
      <w:bookmarkStart w:colFirst="0" w:colLast="0" w:name="_heading=h.3kfovelrin3e" w:id="0"/>
      <w:bookmarkEnd w:id="0"/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La escasez de agua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auto" w:val="clear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siguiente imagen resume información relevante del agua en nuestro planeta: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auto" w:val="clear"/>
              <w:spacing w:after="0" w:line="276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auto" w:val="clear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5924550" cy="4191000"/>
                  <wp:effectExtent b="0" l="0" r="0" t="0"/>
                  <wp:docPr id="2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4191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esta información para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realizar las siguientes actividades.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425.19685039370086" w:hanging="425.19685039370086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Representa con diagramas o esquemas: 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cantidad de agua dulce y salada en relación a la cantidad de agua que hay en el planeta.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cantidad de agua que hay en los glaciares, en las napas subterráneas y la apta para el consumo humano, en relación a la cantidad de agua dulce disponible en el planeta.</w:t>
      </w:r>
    </w:p>
    <w:p w:rsidR="00000000" w:rsidDel="00000000" w:rsidP="00000000" w:rsidRDefault="00000000" w:rsidRPr="00000000" w14:paraId="00000011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5.1968503937008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sabemos que en la tierra hay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aproximadamente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1386 millones de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km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agua,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Nunito" w:cs="Nunito" w:eastAsia="Nunito" w:hAnsi="Nunito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tabla con la cantidad de agua en millones de 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km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respectivamente: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11111"/>
        </w:rPr>
        <w:drawing>
          <wp:inline distB="114300" distT="114300" distL="114300" distR="114300">
            <wp:extent cx="5731200" cy="2108200"/>
            <wp:effectExtent b="0" l="0" r="0" t="0"/>
            <wp:docPr id="2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1111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porcentaje de la cantidad de agua disponible en el planeta es apta para el consumo? 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25.1968503937008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Supongamos que en nuestro planeta hay 1 litro de agua (1000 mL) y la vertemos en una botella. 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</w:rPr>
        <w:drawing>
          <wp:inline distB="114300" distT="114300" distL="114300" distR="114300">
            <wp:extent cx="690563" cy="980799"/>
            <wp:effectExtent b="0" l="0" r="0" t="0"/>
            <wp:docPr id="2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980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 la cantidad de agua de esa botella que crees sería apta para el consumo.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cantidad de agua que sería apta para el consumo. 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1 mL (mililitro) ≈ 20 gotas. ¿Cuántas gotas corresponden a esa cantidad?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QrXMmPPHPvqAcmyidMEaO6InA==">CgMxLjAyDmguM2tmb3ZlbHJpbjNlOAByITE5emxWZU9mYWhiYXE3ajV4RC1uUEN6djdjZ2lCY2N4Rg==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