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El juego del Sombrerero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3"/>
        </w:numPr>
        <w:spacing w:line="240" w:lineRule="auto"/>
        <w:ind w:left="425.19685039370074" w:hanging="360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Jueguen el juego del Sombrero y registren los resultados como se indica a continuación: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850.3937007874016" w:hanging="435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Formen grupos de 2.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850.3937007874016" w:hanging="435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Cada uno debe elegir el personaje que va a representar (Alicia o el Sombrerero).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850.3937007874016" w:hanging="435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Sin mirar, deben sacar dos cartas de la bolsa que les entregó su profesor(a). 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40" w:lineRule="auto"/>
        <w:ind w:left="850.3937007874016" w:hanging="435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las cartas son del mismo color, pinten 1 ficha en la columna de Alicia.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40" w:lineRule="auto"/>
        <w:ind w:left="850.3937007874016" w:hanging="435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las cartas son de distinto color, pinten 1 ficha en la columna del Sombrerero.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40" w:lineRule="auto"/>
        <w:ind w:left="850.3937007874016" w:hanging="435.000000000000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Repitan lo anterior 10 veces.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22389</wp:posOffset>
            </wp:positionH>
            <wp:positionV relativeFrom="paragraph">
              <wp:posOffset>333375</wp:posOffset>
            </wp:positionV>
            <wp:extent cx="5690545" cy="2015582"/>
            <wp:effectExtent b="0" l="0" r="0" t="0"/>
            <wp:wrapSquare wrapText="bothSides" distB="114300" distT="114300" distL="114300" distR="114300"/>
            <wp:docPr id="2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90545" cy="20155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Después de revisar los resultados del juego de todos los grupos, ¿se puede concluir si alguno de los personajes tiene más probabilidad de ganar que el otro ?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40" w:lineRule="auto"/>
        <w:jc w:val="both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las tres cartas del juego del Sombrerero. Para distinguir las cartas rojas, doblaremos la punta de una de ellas.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rFonts w:ascii="Nunito" w:cs="Nunito" w:eastAsia="Nunito" w:hAnsi="Nunito"/>
          <w:color w:val="5bae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rFonts w:ascii="Nunito" w:cs="Nunito" w:eastAsia="Nunito" w:hAnsi="Nunito"/>
          <w:color w:val="5bae38"/>
        </w:rPr>
      </w:pPr>
      <w:r w:rsidDel="00000000" w:rsidR="00000000" w:rsidRPr="00000000">
        <w:rPr>
          <w:rFonts w:ascii="Nunito" w:cs="Nunito" w:eastAsia="Nunito" w:hAnsi="Nunito"/>
          <w:color w:val="5bae38"/>
        </w:rPr>
        <mc:AlternateContent>
          <mc:Choice Requires="wpg">
            <w:drawing>
              <wp:inline distB="114300" distT="114300" distL="114300" distR="114300">
                <wp:extent cx="3586163" cy="1893915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3586163" cy="1893915"/>
                          <a:chOff x="152400" y="152400"/>
                          <a:chExt cx="5132900" cy="270362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0" r="53100" t="0"/>
                          <a:stretch/>
                        </pic:blipFill>
                        <pic:spPr>
                          <a:xfrm>
                            <a:off x="152400" y="152400"/>
                            <a:ext cx="3430899" cy="27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3" name="Shape 3"/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 b="0" l="76733" r="0" t="0"/>
                          <a:stretch/>
                        </pic:blipFill>
                        <pic:spPr>
                          <a:xfrm>
                            <a:off x="3583300" y="152400"/>
                            <a:ext cx="1701999" cy="270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586163" cy="1893915"/>
                <wp:effectExtent b="0" l="0" r="0" t="0"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86163" cy="18939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rtl w:val="0"/>
        </w:rPr>
        <w:t xml:space="preserve">                                         Roja 1                      Roja 2                      Azul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sacar dos cartas al azar de entre las tres cartas de arriba, ¿cuántos pares de cartas distintos se pueden obtener? Muestra todos los casos posibles.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cuántos de esos casos gana el Sombrerero? ¿En cuántos de esos casos gana Alicia?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puedes concluir de lo anterior respecto a las probabilidades de ganar de Alicia y el Sombrerero?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6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auwWxBQ8vj98YgJXaJsDrC+J8Q==">CgMxLjAyDmguNGZqaHd6dXlqbWFlOAByITFkdmtyN3ZtY3lBd3RYRWR6Q2xTZzZUOF9oYjM3VDB1Wg==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