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Nunito" w:cs="Nunito" w:eastAsia="Nunito" w:hAnsi="Nunito"/>
          <w:b w:val="1"/>
        </w:rPr>
      </w:pPr>
      <w:r w:rsidDel="00000000" w:rsidR="00000000" w:rsidRPr="00000000">
        <w:rPr>
          <w:rtl w:val="0"/>
        </w:rPr>
      </w:r>
    </w:p>
    <w:p w:rsidR="00000000" w:rsidDel="00000000" w:rsidP="00000000" w:rsidRDefault="00000000" w:rsidRPr="00000000" w14:paraId="00000002">
      <w:pPr>
        <w:spacing w:line="259" w:lineRule="auto"/>
        <w:jc w:val="center"/>
        <w:rPr>
          <w:rFonts w:ascii="Calibri" w:cs="Calibri" w:eastAsia="Calibri" w:hAnsi="Calibri"/>
          <w:b w:val="1"/>
          <w:color w:val="433b72"/>
          <w:sz w:val="36"/>
          <w:szCs w:val="36"/>
        </w:rPr>
      </w:pPr>
      <w:r w:rsidDel="00000000" w:rsidR="00000000" w:rsidRPr="00000000">
        <w:rPr>
          <w:rFonts w:ascii="Calibri" w:cs="Calibri" w:eastAsia="Calibri" w:hAnsi="Calibri"/>
          <w:b w:val="1"/>
          <w:color w:val="433b72"/>
          <w:sz w:val="36"/>
          <w:szCs w:val="36"/>
          <w:rtl w:val="0"/>
        </w:rPr>
        <w:t xml:space="preserve">Hoja de Actividades</w:t>
      </w:r>
    </w:p>
    <w:p w:rsidR="00000000" w:rsidDel="00000000" w:rsidP="00000000" w:rsidRDefault="00000000" w:rsidRPr="00000000" w14:paraId="00000003">
      <w:pPr>
        <w:pStyle w:val="Subtitle"/>
        <w:spacing w:after="160" w:line="259" w:lineRule="auto"/>
        <w:jc w:val="center"/>
        <w:rPr/>
      </w:pPr>
      <w:bookmarkStart w:colFirst="0" w:colLast="0" w:name="_3kfovelrin3e" w:id="0"/>
      <w:bookmarkEnd w:id="0"/>
      <w:r w:rsidDel="00000000" w:rsidR="00000000" w:rsidRPr="00000000">
        <w:rPr>
          <w:rFonts w:ascii="Calibri" w:cs="Calibri" w:eastAsia="Calibri" w:hAnsi="Calibri"/>
          <w:color w:val="433b72"/>
          <w:sz w:val="28"/>
          <w:szCs w:val="28"/>
          <w:rtl w:val="0"/>
        </w:rPr>
        <w:t xml:space="preserve">Explorando la UF en el contexto de créditos hipotecarios </w:t>
      </w:r>
      <w:r w:rsidDel="00000000" w:rsidR="00000000" w:rsidRPr="00000000">
        <w:rPr>
          <w:rtl w:val="0"/>
        </w:rPr>
      </w:r>
    </w:p>
    <w:p w:rsidR="00000000" w:rsidDel="00000000" w:rsidP="00000000" w:rsidRDefault="00000000" w:rsidRPr="00000000" w14:paraId="00000004">
      <w:pPr>
        <w:spacing w:line="276" w:lineRule="auto"/>
        <w:rPr/>
      </w:pPr>
      <w:r w:rsidDel="00000000" w:rsidR="00000000" w:rsidRPr="00000000">
        <w:rPr>
          <w:rtl w:val="0"/>
        </w:rPr>
      </w:r>
    </w:p>
    <w:tbl>
      <w:tblPr>
        <w:tblStyle w:val="Table1"/>
        <w:tblW w:w="90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90"/>
        <w:tblGridChange w:id="0">
          <w:tblGrid>
            <w:gridCol w:w="9090"/>
          </w:tblGrid>
        </w:tblGridChange>
      </w:tblGrid>
      <w:tr>
        <w:trPr>
          <w:cantSplit w:val="0"/>
          <w:trHeight w:val="1770" w:hRule="atLeast"/>
          <w:tblHeader w:val="0"/>
        </w:trPr>
        <w:tc>
          <w:tcPr>
            <w:tcBorders>
              <w:top w:color="60b698" w:space="0" w:sz="8" w:val="single"/>
              <w:left w:color="60b698" w:space="0" w:sz="8" w:val="single"/>
              <w:bottom w:color="60b698" w:space="0" w:sz="8" w:val="single"/>
              <w:right w:color="60b698" w:space="0" w:sz="8" w:val="single"/>
            </w:tcBorders>
            <w:shd w:fill="auto" w:val="clear"/>
            <w:tcMar>
              <w:top w:w="100.0" w:type="dxa"/>
              <w:left w:w="100.0" w:type="dxa"/>
              <w:bottom w:w="100.0" w:type="dxa"/>
              <w:right w:w="100.0" w:type="dxa"/>
            </w:tcMar>
          </w:tcPr>
          <w:p w:rsidR="00000000" w:rsidDel="00000000" w:rsidP="00000000" w:rsidRDefault="00000000" w:rsidRPr="00000000" w14:paraId="00000005">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Julieta está revisando sus </w:t>
            </w:r>
            <w:r w:rsidDel="00000000" w:rsidR="00000000" w:rsidRPr="00000000">
              <w:rPr>
                <w:rFonts w:ascii="Calibri" w:cs="Calibri" w:eastAsia="Calibri" w:hAnsi="Calibri"/>
                <w:sz w:val="24"/>
                <w:szCs w:val="24"/>
                <w:rtl w:val="0"/>
              </w:rPr>
              <w:t xml:space="preserve">cartolas</w:t>
            </w:r>
            <w:r w:rsidDel="00000000" w:rsidR="00000000" w:rsidRPr="00000000">
              <w:rPr>
                <w:rFonts w:ascii="Calibri" w:cs="Calibri" w:eastAsia="Calibri" w:hAnsi="Calibri"/>
                <w:sz w:val="24"/>
                <w:szCs w:val="24"/>
                <w:rtl w:val="0"/>
              </w:rPr>
              <w:t xml:space="preserve"> asociadas al pago del crédito hipotecario que solicitó al banco en diciembre del 2021, pues quiere entender por qué el valor de la cuota ha subido significativamente. Ella sabe que el monto total del crédito fue de </w:t>
            </w:r>
            <m:oMath>
              <m:r>
                <w:rPr>
                  <w:rFonts w:ascii="Calibri" w:cs="Calibri" w:eastAsia="Calibri" w:hAnsi="Calibri"/>
                  <w:sz w:val="24"/>
                  <w:szCs w:val="24"/>
                </w:rPr>
                <m:t xml:space="preserve">$120 000 000</m:t>
              </m:r>
            </m:oMath>
            <w:r w:rsidDel="00000000" w:rsidR="00000000" w:rsidRPr="00000000">
              <w:rPr>
                <w:rFonts w:ascii="Calibri" w:cs="Calibri" w:eastAsia="Calibri" w:hAnsi="Calibri"/>
                <w:sz w:val="24"/>
                <w:szCs w:val="24"/>
                <w:rtl w:val="0"/>
              </w:rPr>
              <w:t xml:space="preserve"> y el banco calculó que la cuota por pagar es de </w:t>
            </w:r>
            <m:oMath>
              <m:r>
                <w:rPr>
                  <w:rFonts w:ascii="Calibri" w:cs="Calibri" w:eastAsia="Calibri" w:hAnsi="Calibri"/>
                  <w:sz w:val="24"/>
                  <w:szCs w:val="24"/>
                </w:rPr>
                <m:t xml:space="preserve">16,25</m:t>
              </m:r>
            </m:oMath>
            <w:r w:rsidDel="00000000" w:rsidR="00000000" w:rsidRPr="00000000">
              <w:rPr>
                <w:rFonts w:ascii="Calibri" w:cs="Calibri" w:eastAsia="Calibri" w:hAnsi="Calibri"/>
                <w:sz w:val="24"/>
                <w:szCs w:val="24"/>
                <w:rtl w:val="0"/>
              </w:rPr>
              <w:t xml:space="preserve"> UF mensuales por 20 años. </w:t>
            </w:r>
            <w:r w:rsidDel="00000000" w:rsidR="00000000" w:rsidRPr="00000000">
              <w:rPr>
                <w:rFonts w:ascii="Calibri" w:cs="Calibri" w:eastAsia="Calibri" w:hAnsi="Calibri"/>
                <w:sz w:val="24"/>
                <w:szCs w:val="24"/>
                <w:rtl w:val="0"/>
              </w:rPr>
              <w:t xml:space="preserve">¿por qué el valor de la cuota ha subido significativamente? ¿Cómo se calcula la UF? ¿I</w:t>
            </w:r>
            <w:r w:rsidDel="00000000" w:rsidR="00000000" w:rsidRPr="00000000">
              <w:rPr>
                <w:rFonts w:ascii="Calibri" w:cs="Calibri" w:eastAsia="Calibri" w:hAnsi="Calibri"/>
                <w:sz w:val="24"/>
                <w:szCs w:val="24"/>
                <w:rtl w:val="0"/>
              </w:rPr>
              <w:t xml:space="preserve">nfluye</w:t>
            </w:r>
            <w:r w:rsidDel="00000000" w:rsidR="00000000" w:rsidRPr="00000000">
              <w:rPr>
                <w:rFonts w:ascii="Calibri" w:cs="Calibri" w:eastAsia="Calibri" w:hAnsi="Calibri"/>
                <w:sz w:val="24"/>
                <w:szCs w:val="24"/>
                <w:rtl w:val="0"/>
              </w:rPr>
              <w:t xml:space="preserve"> el día de pago?</w:t>
            </w:r>
            <w:r w:rsidDel="00000000" w:rsidR="00000000" w:rsidRPr="00000000">
              <w:rPr>
                <w:rtl w:val="0"/>
              </w:rPr>
            </w:r>
          </w:p>
        </w:tc>
      </w:tr>
    </w:tbl>
    <w:p w:rsidR="00000000" w:rsidDel="00000000" w:rsidP="00000000" w:rsidRDefault="00000000" w:rsidRPr="00000000" w14:paraId="0000000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numPr>
          <w:ilvl w:val="0"/>
          <w:numId w:val="1"/>
        </w:numPr>
        <w:spacing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Considerando que la UF para el 1 de diciembre de 2021 fue de $30 776,05, ¿cómo obtuvo el banco que la cuota mensual era de 16,25 UF? </w:t>
      </w:r>
    </w:p>
    <w:p w:rsidR="00000000" w:rsidDel="00000000" w:rsidP="00000000" w:rsidRDefault="00000000" w:rsidRPr="00000000" w14:paraId="00000008">
      <w:pPr>
        <w:spacing w:line="276" w:lineRule="auto"/>
        <w:ind w:left="-212"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9">
      <w:pPr>
        <w:spacing w:line="276" w:lineRule="auto"/>
        <w:ind w:left="-212"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A">
      <w:pPr>
        <w:spacing w:line="276" w:lineRule="auto"/>
        <w:ind w:left="-212"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B">
      <w:pPr>
        <w:spacing w:line="276" w:lineRule="auto"/>
        <w:ind w:left="-212"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C">
      <w:pPr>
        <w:spacing w:line="276" w:lineRule="auto"/>
        <w:ind w:left="-212"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D">
      <w:pPr>
        <w:spacing w:line="276" w:lineRule="auto"/>
        <w:ind w:left="-212"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E">
      <w:pPr>
        <w:numPr>
          <w:ilvl w:val="0"/>
          <w:numId w:val="1"/>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Julieta averigua cómo se calcula la UF durante el año, y encuentra la siguiente información: </w:t>
      </w:r>
    </w:p>
    <w:tbl>
      <w:tblPr>
        <w:tblStyle w:val="Table2"/>
        <w:tblW w:w="10050.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0"/>
        <w:tblGridChange w:id="0">
          <w:tblGrid>
            <w:gridCol w:w="10050"/>
          </w:tblGrid>
        </w:tblGridChange>
      </w:tblGrid>
      <w:tr>
        <w:trPr>
          <w:cantSplit w:val="0"/>
          <w:trHeight w:val="6000.310813291022" w:hRule="atLeast"/>
          <w:tblHeader w:val="0"/>
        </w:trPr>
        <w:tc>
          <w:tcPr>
            <w:tcBorders>
              <w:top w:color="60b698" w:space="0" w:sz="8" w:val="single"/>
              <w:left w:color="60b698" w:space="0" w:sz="8" w:val="single"/>
              <w:bottom w:color="60b698" w:space="0" w:sz="8" w:val="single"/>
              <w:right w:color="60b69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spacing w:line="276" w:lineRule="auto"/>
              <w:ind w:lef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UF hoy = UF ayer </w:t>
            </w:r>
            <m:oMath>
              <m:r>
                <m:t>⋅</m:t>
              </m:r>
            </m:oMath>
            <w:r w:rsidDel="00000000" w:rsidR="00000000" w:rsidRPr="00000000">
              <w:rPr>
                <w:rFonts w:ascii="Calibri" w:cs="Calibri" w:eastAsia="Calibri" w:hAnsi="Calibri"/>
                <w:b w:val="1"/>
                <w:sz w:val="24"/>
                <w:szCs w:val="24"/>
                <w:rtl w:val="0"/>
              </w:rPr>
              <w:t xml:space="preserve"> factor de reajustabilidad</w:t>
            </w:r>
          </w:p>
          <w:p w:rsidR="00000000" w:rsidDel="00000000" w:rsidP="00000000" w:rsidRDefault="00000000" w:rsidRPr="00000000" w14:paraId="00000010">
            <w:pPr>
              <w:spacing w:line="276" w:lineRule="auto"/>
              <w:ind w:left="0" w:firstLine="0"/>
              <w:jc w:val="center"/>
              <w:rPr>
                <w:rFonts w:ascii="Calibri" w:cs="Calibri" w:eastAsia="Calibri" w:hAnsi="Calibri"/>
                <w:b w:val="1"/>
                <w:sz w:val="30"/>
                <w:szCs w:val="30"/>
              </w:rPr>
            </w:pPr>
            <w:r w:rsidDel="00000000" w:rsidR="00000000" w:rsidRPr="00000000">
              <w:rPr>
                <w:rFonts w:ascii="Calibri" w:cs="Calibri" w:eastAsia="Calibri" w:hAnsi="Calibri"/>
                <w:sz w:val="24"/>
                <w:szCs w:val="24"/>
                <w:rtl w:val="0"/>
              </w:rPr>
              <w:t xml:space="preserve">f</w:t>
            </w:r>
            <w:r w:rsidDel="00000000" w:rsidR="00000000" w:rsidRPr="00000000">
              <w:rPr>
                <w:rFonts w:ascii="Calibri" w:cs="Calibri" w:eastAsia="Calibri" w:hAnsi="Calibri"/>
                <w:sz w:val="24"/>
                <w:szCs w:val="24"/>
                <w:rtl w:val="0"/>
              </w:rPr>
              <w:t xml:space="preserve">actor de reajustabilidad =</w:t>
            </w:r>
            <w:r w:rsidDel="00000000" w:rsidR="00000000" w:rsidRPr="00000000">
              <w:rPr>
                <w:rFonts w:ascii="Calibri" w:cs="Calibri" w:eastAsia="Calibri" w:hAnsi="Calibri"/>
                <w:b w:val="1"/>
                <w:sz w:val="24"/>
                <w:szCs w:val="24"/>
                <w:rtl w:val="0"/>
              </w:rPr>
              <w:t xml:space="preserve"> </w:t>
            </w:r>
            <m:oMath>
              <m:sSup>
                <m:e>
                  <m:d>
                    <m:dPr>
                      <m:begChr m:val="("/>
                      <m:endChr m:val=")"/>
                      <m:ctrlPr>
                        <w:rPr>
                          <w:rFonts w:ascii="Calibri" w:cs="Calibri" w:eastAsia="Calibri" w:hAnsi="Calibri"/>
                          <w:b w:val="1"/>
                          <w:sz w:val="30"/>
                          <w:szCs w:val="30"/>
                        </w:rPr>
                      </m:ctrlPr>
                    </m:dPr>
                    <m:e>
                      <m:r>
                        <w:rPr>
                          <w:rFonts w:ascii="Calibri" w:cs="Calibri" w:eastAsia="Calibri" w:hAnsi="Calibri"/>
                          <w:b w:val="1"/>
                          <w:sz w:val="30"/>
                          <w:szCs w:val="30"/>
                        </w:rPr>
                        <m:t xml:space="preserve">1+</m:t>
                      </m:r>
                      <m:f>
                        <m:fPr>
                          <m:ctrlPr>
                            <w:rPr>
                              <w:rFonts w:ascii="Calibri" w:cs="Calibri" w:eastAsia="Calibri" w:hAnsi="Calibri"/>
                              <w:b w:val="1"/>
                              <w:sz w:val="30"/>
                              <w:szCs w:val="30"/>
                            </w:rPr>
                          </m:ctrlPr>
                        </m:fPr>
                        <m:num>
                          <m:r>
                            <w:rPr>
                              <w:rFonts w:ascii="Calibri" w:cs="Calibri" w:eastAsia="Calibri" w:hAnsi="Calibri"/>
                              <w:b w:val="1"/>
                              <w:sz w:val="30"/>
                              <w:szCs w:val="30"/>
                            </w:rPr>
                            <m:t xml:space="preserve">Variación IPC</m:t>
                          </m:r>
                        </m:num>
                        <m:den>
                          <m:r>
                            <w:rPr>
                              <w:rFonts w:ascii="Calibri" w:cs="Calibri" w:eastAsia="Calibri" w:hAnsi="Calibri"/>
                              <w:b w:val="1"/>
                              <w:sz w:val="30"/>
                              <w:szCs w:val="30"/>
                            </w:rPr>
                            <m:t xml:space="preserve">100</m:t>
                          </m:r>
                        </m:den>
                      </m:f>
                    </m:e>
                  </m:d>
                </m:e>
                <m:sup>
                  <m:f>
                    <m:fPr>
                      <m:ctrlPr>
                        <w:rPr>
                          <w:rFonts w:ascii="Calibri" w:cs="Calibri" w:eastAsia="Calibri" w:hAnsi="Calibri"/>
                          <w:b w:val="1"/>
                          <w:sz w:val="36"/>
                          <w:szCs w:val="36"/>
                        </w:rPr>
                      </m:ctrlPr>
                    </m:fPr>
                    <m:num>
                      <m:r>
                        <w:rPr>
                          <w:rFonts w:ascii="Calibri" w:cs="Calibri" w:eastAsia="Calibri" w:hAnsi="Calibri"/>
                          <w:b w:val="1"/>
                          <w:sz w:val="36"/>
                          <w:szCs w:val="36"/>
                        </w:rPr>
                        <m:t xml:space="preserve">1</m:t>
                      </m:r>
                    </m:num>
                    <m:den>
                      <m:r>
                        <w:rPr>
                          <w:rFonts w:ascii="Calibri" w:cs="Calibri" w:eastAsia="Calibri" w:hAnsi="Calibri"/>
                          <w:b w:val="1"/>
                          <w:sz w:val="36"/>
                          <w:szCs w:val="36"/>
                        </w:rPr>
                        <m:t xml:space="preserve">d</m:t>
                      </m:r>
                    </m:den>
                  </m:f>
                </m:sup>
              </m:sSup>
            </m:oMath>
            <w:r w:rsidDel="00000000" w:rsidR="00000000" w:rsidRPr="00000000">
              <w:rPr>
                <w:rtl w:val="0"/>
              </w:rPr>
            </w:r>
          </w:p>
          <w:p w:rsidR="00000000" w:rsidDel="00000000" w:rsidP="00000000" w:rsidRDefault="00000000" w:rsidRPr="00000000" w14:paraId="00000011">
            <w:pPr>
              <w:spacing w:line="276" w:lineRule="auto"/>
              <w:ind w:left="0" w:firstLine="0"/>
              <w:jc w:val="center"/>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12">
            <w:pPr>
              <w:numPr>
                <w:ilvl w:val="0"/>
                <w:numId w:val="2"/>
              </w:numPr>
              <w:spacing w:line="276" w:lineRule="auto"/>
              <w:ind w:left="720" w:hanging="360"/>
              <w:rPr>
                <w:rFonts w:ascii="Calibri" w:cs="Calibri" w:eastAsia="Calibri" w:hAnsi="Calibri"/>
                <w:sz w:val="24"/>
                <w:szCs w:val="24"/>
              </w:rPr>
            </w:pPr>
            <m:oMath>
              <m:r>
                <w:rPr>
                  <w:rFonts w:ascii="Roboto" w:cs="Roboto" w:eastAsia="Roboto" w:hAnsi="Roboto"/>
                  <w:sz w:val="20"/>
                  <w:szCs w:val="20"/>
                  <w:highlight w:val="white"/>
                </w:rPr>
                <m:t xml:space="preserve">Variación IPC</m:t>
              </m:r>
            </m:oMath>
            <w:r w:rsidDel="00000000" w:rsidR="00000000" w:rsidRPr="00000000">
              <w:rPr>
                <w:rFonts w:ascii="Roboto" w:cs="Roboto" w:eastAsia="Roboto" w:hAnsi="Roboto"/>
                <w:sz w:val="20"/>
                <w:szCs w:val="20"/>
                <w:highlight w:val="white"/>
                <w:rtl w:val="0"/>
              </w:rPr>
              <w:t xml:space="preserve">: </w:t>
            </w:r>
            <w:r w:rsidDel="00000000" w:rsidR="00000000" w:rsidRPr="00000000">
              <w:rPr>
                <w:rFonts w:ascii="Calibri" w:cs="Calibri" w:eastAsia="Calibri" w:hAnsi="Calibri"/>
                <w:sz w:val="20"/>
                <w:szCs w:val="20"/>
                <w:highlight w:val="white"/>
                <w:rtl w:val="0"/>
              </w:rPr>
              <w:t xml:space="preserve">Variación mensual por el INE</w:t>
            </w:r>
            <w:r w:rsidDel="00000000" w:rsidR="00000000" w:rsidRPr="00000000">
              <w:rPr>
                <w:rtl w:val="0"/>
              </w:rPr>
            </w:r>
          </w:p>
          <w:p w:rsidR="00000000" w:rsidDel="00000000" w:rsidP="00000000" w:rsidRDefault="00000000" w:rsidRPr="00000000" w14:paraId="00000013">
            <w:pPr>
              <w:numPr>
                <w:ilvl w:val="0"/>
                <w:numId w:val="2"/>
              </w:numPr>
              <w:spacing w:line="276" w:lineRule="auto"/>
              <w:ind w:left="720" w:hanging="360"/>
              <w:rPr>
                <w:rFonts w:ascii="Calibri" w:cs="Calibri" w:eastAsia="Calibri" w:hAnsi="Calibri"/>
                <w:sz w:val="24"/>
                <w:szCs w:val="24"/>
              </w:rPr>
            </w:pPr>
            <m:oMath>
              <m:r>
                <w:rPr>
                  <w:rFonts w:ascii="Calibri" w:cs="Calibri" w:eastAsia="Calibri" w:hAnsi="Calibri"/>
                  <w:b w:val="1"/>
                  <w:i w:val="1"/>
                  <w:sz w:val="24"/>
                  <w:szCs w:val="24"/>
                </w:rPr>
                <m:t xml:space="preserve">d</m:t>
              </m:r>
            </m:oMath>
            <w:r w:rsidDel="00000000" w:rsidR="00000000" w:rsidRPr="00000000">
              <w:rPr>
                <w:rFonts w:ascii="Calibri" w:cs="Calibri" w:eastAsia="Calibri" w:hAnsi="Calibri"/>
                <w:i w:val="1"/>
                <w:sz w:val="24"/>
                <w:szCs w:val="24"/>
                <w:rtl w:val="0"/>
              </w:rPr>
              <w:t xml:space="preserve">:</w:t>
            </w:r>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highlight w:val="white"/>
                <w:rtl w:val="0"/>
              </w:rPr>
              <w:t xml:space="preserve">N° de días comprendidos en el periodo para el cual se calcula el valor de la UF</w:t>
            </w:r>
          </w:p>
          <w:p w:rsidR="00000000" w:rsidDel="00000000" w:rsidP="00000000" w:rsidRDefault="00000000" w:rsidRPr="00000000" w14:paraId="0000001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UF se reajusta a partir del día diez de cada mes hasta el día nueve del mes siguiente.</w:t>
            </w:r>
          </w:p>
          <w:p w:rsidR="00000000" w:rsidDel="00000000" w:rsidP="00000000" w:rsidRDefault="00000000" w:rsidRPr="00000000" w14:paraId="00000017">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calcular la UF en un día específico (x) del mes: </w:t>
            </w:r>
          </w:p>
          <w:p w:rsidR="00000000" w:rsidDel="00000000" w:rsidP="00000000" w:rsidRDefault="00000000" w:rsidRPr="00000000" w14:paraId="00000018">
            <w:pPr>
              <w:spacing w:line="276"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5548313" cy="981075"/>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548313" cy="9810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A">
      <w:pPr>
        <w:spacing w:line="276"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numPr>
          <w:ilvl w:val="0"/>
          <w:numId w:val="3"/>
        </w:numPr>
        <w:spacing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Considerando la publicación oficial del IPC y que la UF al 31 de diciembre 2021 es de </w:t>
      </w:r>
      <m:oMath>
        <m:r>
          <w:rPr>
            <w:rFonts w:ascii="Calibri" w:cs="Calibri" w:eastAsia="Calibri" w:hAnsi="Calibri"/>
            <w:sz w:val="24"/>
            <w:szCs w:val="24"/>
          </w:rPr>
          <m:t xml:space="preserve">$30 991,74</m:t>
        </m:r>
      </m:oMath>
      <w:r w:rsidDel="00000000" w:rsidR="00000000" w:rsidRPr="00000000">
        <w:rPr>
          <w:rFonts w:ascii="Calibri" w:cs="Calibri" w:eastAsia="Calibri" w:hAnsi="Calibri"/>
          <w:sz w:val="24"/>
          <w:szCs w:val="24"/>
          <w:rtl w:val="0"/>
        </w:rPr>
        <w:t xml:space="preserve">, calcula la UF para los días 1, 5 y 9 de enero del 2022.</w:t>
      </w:r>
    </w:p>
    <w:p w:rsidR="00000000" w:rsidDel="00000000" w:rsidP="00000000" w:rsidRDefault="00000000" w:rsidRPr="00000000" w14:paraId="0000001C">
      <w:pPr>
        <w:spacing w:line="276"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line="276"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spacing w:line="276"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pacing w:line="276"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spacing w:line="276"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spacing w:line="276"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spacing w:line="276"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numPr>
          <w:ilvl w:val="0"/>
          <w:numId w:val="3"/>
        </w:numPr>
        <w:spacing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partir de la información entregada, calcula la UF para los días 10, 20 y 31 de enero del 2022 considerando el ajuste del IPC .</w:t>
      </w:r>
    </w:p>
    <w:p w:rsidR="00000000" w:rsidDel="00000000" w:rsidP="00000000" w:rsidRDefault="00000000" w:rsidRPr="00000000" w14:paraId="00000024">
      <w:pPr>
        <w:spacing w:line="276"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spacing w:line="276"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pacing w:line="276"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line="276"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spacing w:line="276"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numPr>
          <w:ilvl w:val="0"/>
          <w:numId w:val="1"/>
        </w:numPr>
        <w:spacing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Completa en la base de datos “Entendiendo el crédito” el valor de la UF para los días  5, 9, 10 y último día de cada mes del 2022.</w:t>
      </w:r>
    </w:p>
    <w:p w:rsidR="00000000" w:rsidDel="00000000" w:rsidP="00000000" w:rsidRDefault="00000000" w:rsidRPr="00000000" w14:paraId="0000002D">
      <w:pPr>
        <w:spacing w:line="276"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spacing w:line="276"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spacing w:line="276"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spacing w:line="276"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pacing w:line="276"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spacing w:line="276"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spacing w:line="276"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numPr>
          <w:ilvl w:val="0"/>
          <w:numId w:val="1"/>
        </w:numPr>
        <w:spacing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 revisar la cartola, Julieta observa que su día de pago es el último día de cada mes ¿Cuál es la diferencia en pesos si hubiese pagado el día 5 de cada mes? </w:t>
      </w:r>
    </w:p>
    <w:p w:rsidR="00000000" w:rsidDel="00000000" w:rsidP="00000000" w:rsidRDefault="00000000" w:rsidRPr="00000000" w14:paraId="00000035">
      <w:pPr>
        <w:spacing w:line="276"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6">
      <w:pPr>
        <w:spacing w:line="276"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spacing w:line="276"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spacing w:line="276"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spacing w:line="276"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ind w:left="0" w:firstLine="0"/>
        <w:rPr>
          <w:rFonts w:ascii="Calibri" w:cs="Calibri" w:eastAsia="Calibri" w:hAnsi="Calibri"/>
          <w:b w:val="1"/>
          <w:color w:val="433b72"/>
          <w:sz w:val="36"/>
          <w:szCs w:val="36"/>
        </w:rPr>
      </w:pPr>
      <w:r w:rsidDel="00000000" w:rsidR="00000000" w:rsidRPr="00000000">
        <w:rPr>
          <w:rtl w:val="0"/>
        </w:rPr>
      </w:r>
    </w:p>
    <w:sectPr>
      <w:headerReference r:id="rId7" w:type="default"/>
      <w:footerReference r:id="rId8" w:type="default"/>
      <w:pgSz w:h="16834" w:w="11909" w:orient="portrait"/>
      <w:pgMar w:bottom="1440" w:top="1440" w:left="1440" w:right="1440" w:header="0" w:footer="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ind w:left="-1440" w:right="-1434" w:firstLine="0"/>
      <w:rPr/>
    </w:pPr>
    <w:r w:rsidDel="00000000" w:rsidR="00000000" w:rsidRPr="00000000">
      <w:rPr/>
      <w:drawing>
        <wp:inline distB="114300" distT="114300" distL="114300" distR="114300">
          <wp:extent cx="8129588" cy="1905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129588" cy="190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ind w:left="-1440" w:hanging="30"/>
      <w:rPr/>
    </w:pPr>
    <w:r w:rsidDel="00000000" w:rsidR="00000000" w:rsidRPr="00000000">
      <w:rPr/>
      <w:drawing>
        <wp:inline distB="114300" distT="114300" distL="114300" distR="114300">
          <wp:extent cx="7586663" cy="1905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86663"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ind w:left="-1417.3228346456694" w:right="-1310.456692913384" w:hanging="22.67716535433067"/>
      <w:jc w:val="right"/>
      <w:rPr/>
    </w:pPr>
    <w:r w:rsidDel="00000000" w:rsidR="00000000" w:rsidRPr="00000000">
      <w:rPr/>
      <w:drawing>
        <wp:inline distB="114300" distT="114300" distL="114300" distR="114300">
          <wp:extent cx="843915" cy="654429"/>
          <wp:effectExtent b="0" l="0" r="0" t="0"/>
          <wp:docPr id="3"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843915" cy="65442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unito-regular.ttf"/><Relationship Id="rId6" Type="http://schemas.openxmlformats.org/officeDocument/2006/relationships/font" Target="fonts/Nunito-bold.ttf"/><Relationship Id="rId7" Type="http://schemas.openxmlformats.org/officeDocument/2006/relationships/font" Target="fonts/Nunito-italic.ttf"/><Relationship Id="rId8" Type="http://schemas.openxmlformats.org/officeDocument/2006/relationships/font" Target="fonts/Nuni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