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b w:val="1"/>
          <w:color w:val="351c75"/>
          <w:sz w:val="36"/>
          <w:szCs w:val="36"/>
        </w:rPr>
      </w:pPr>
      <w:r w:rsidDel="00000000" w:rsidR="00000000" w:rsidRPr="00000000">
        <w:rPr>
          <w:rFonts w:ascii="Calibri" w:cs="Calibri" w:eastAsia="Calibri" w:hAnsi="Calibri"/>
          <w:b w:val="1"/>
          <w:color w:val="351c75"/>
          <w:sz w:val="36"/>
          <w:szCs w:val="36"/>
          <w:rtl w:val="0"/>
        </w:rPr>
        <w:t xml:space="preserve">Guía Práctica</w:t>
      </w:r>
    </w:p>
    <w:p w:rsidR="00000000" w:rsidDel="00000000" w:rsidP="00000000" w:rsidRDefault="00000000" w:rsidRPr="00000000" w14:paraId="00000002">
      <w:pPr>
        <w:pStyle w:val="Subtitle"/>
        <w:spacing w:after="160" w:line="259" w:lineRule="auto"/>
        <w:jc w:val="center"/>
        <w:rPr>
          <w:rFonts w:ascii="Calibri" w:cs="Calibri" w:eastAsia="Calibri" w:hAnsi="Calibri"/>
          <w:b w:val="1"/>
          <w:sz w:val="24"/>
          <w:szCs w:val="24"/>
        </w:rPr>
      </w:pPr>
      <w:bookmarkStart w:colFirst="0" w:colLast="0" w:name="_axgv1lu5e1kl" w:id="0"/>
      <w:bookmarkEnd w:id="0"/>
      <w:r w:rsidDel="00000000" w:rsidR="00000000" w:rsidRPr="00000000">
        <w:rPr>
          <w:rFonts w:ascii="Calibri" w:cs="Calibri" w:eastAsia="Calibri" w:hAnsi="Calibri"/>
          <w:color w:val="433b72"/>
          <w:sz w:val="28"/>
          <w:szCs w:val="28"/>
          <w:rtl w:val="0"/>
        </w:rPr>
        <w:t xml:space="preserve">Decisiones financieras  </w:t>
      </w: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w:t>
      </w:r>
    </w:p>
    <w:p w:rsidR="00000000" w:rsidDel="00000000" w:rsidP="00000000" w:rsidRDefault="00000000" w:rsidRPr="00000000" w14:paraId="00000004">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siguiente información corresponde a una noticia aparecida en un diario Chileno, relativa a las tasas de interés de “Depósitos a Plazo” que ofrecen diversas entidades bancarias al momento de su publicación (15 junio 2023).</w:t>
      </w:r>
      <w:r w:rsidDel="00000000" w:rsidR="00000000" w:rsidRPr="00000000">
        <w:rPr>
          <w:rtl w:val="0"/>
        </w:rPr>
      </w:r>
    </w:p>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line="240" w:lineRule="auto"/>
        <w:ind w:left="-1133.8582677165355" w:right="-891.2598425196836" w:firstLine="0"/>
        <w:jc w:val="center"/>
        <w:rPr>
          <w:rFonts w:ascii="Calibri" w:cs="Calibri" w:eastAsia="Calibri" w:hAnsi="Calibri"/>
          <w:sz w:val="24"/>
          <w:szCs w:val="24"/>
        </w:rPr>
      </w:pPr>
      <w:r w:rsidDel="00000000" w:rsidR="00000000" w:rsidRPr="00000000">
        <w:rPr>
          <w:rFonts w:ascii="Calibri" w:cs="Calibri" w:eastAsia="Calibri" w:hAnsi="Calibri"/>
          <w:sz w:val="24"/>
          <w:szCs w:val="24"/>
        </w:rPr>
        <mc:AlternateContent>
          <mc:Choice Requires="wpg">
            <w:drawing>
              <wp:inline distB="114300" distT="114300" distL="114300" distR="114300">
                <wp:extent cx="6660888" cy="5389353"/>
                <wp:effectExtent b="0" l="0" r="0" t="0"/>
                <wp:docPr id="1" name=""/>
                <a:graphic>
                  <a:graphicData uri="http://schemas.microsoft.com/office/word/2010/wordprocessingGroup">
                    <wpg:wgp>
                      <wpg:cNvGrpSpPr/>
                      <wpg:grpSpPr>
                        <a:xfrm>
                          <a:off x="284375" y="107975"/>
                          <a:ext cx="6660888" cy="5389353"/>
                          <a:chOff x="284375" y="107975"/>
                          <a:chExt cx="6469850" cy="5233050"/>
                        </a:xfrm>
                      </wpg:grpSpPr>
                      <pic:pic>
                        <pic:nvPicPr>
                          <pic:cNvPr id="2" name="Shape 2"/>
                          <pic:cNvPicPr preferRelativeResize="0"/>
                        </pic:nvPicPr>
                        <pic:blipFill rotWithShape="1">
                          <a:blip r:embed="rId6">
                            <a:alphaModFix/>
                          </a:blip>
                          <a:srcRect b="44491" l="2249" r="2029" t="2237"/>
                          <a:stretch/>
                        </pic:blipFill>
                        <pic:spPr>
                          <a:xfrm>
                            <a:off x="284375" y="107975"/>
                            <a:ext cx="6469825" cy="5233050"/>
                          </a:xfrm>
                          <a:prstGeom prst="rect">
                            <a:avLst/>
                          </a:prstGeom>
                          <a:noFill/>
                          <a:ln>
                            <a:noFill/>
                          </a:ln>
                        </pic:spPr>
                      </pic:pic>
                      <wps:wsp>
                        <wps:cNvSpPr/>
                        <wps:cNvPr id="3" name="Shape 3"/>
                        <wps:spPr>
                          <a:xfrm>
                            <a:off x="2813500" y="4342775"/>
                            <a:ext cx="764700" cy="196200"/>
                          </a:xfrm>
                          <a:prstGeom prst="rect">
                            <a:avLst/>
                          </a:prstGeom>
                          <a:solidFill>
                            <a:srgbClr val="D5D3E8"/>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6660888" cy="5389353"/>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660888" cy="538935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1133.8582677165355" w:right="-891.2598425196836" w:firstLine="0"/>
        <w:jc w:val="center"/>
        <w:rPr>
          <w:rFonts w:ascii="Calibri" w:cs="Calibri" w:eastAsia="Calibri" w:hAnsi="Calibri"/>
          <w:sz w:val="24"/>
          <w:szCs w:val="24"/>
        </w:rPr>
      </w:pPr>
      <w:r w:rsidDel="00000000" w:rsidR="00000000" w:rsidRPr="00000000">
        <w:rPr>
          <w:rFonts w:ascii="Calibri" w:cs="Calibri" w:eastAsia="Calibri" w:hAnsi="Calibri"/>
          <w:sz w:val="24"/>
          <w:szCs w:val="24"/>
        </w:rPr>
        <mc:AlternateContent>
          <mc:Choice Requires="wpg">
            <w:drawing>
              <wp:inline distB="114300" distT="114300" distL="114300" distR="114300">
                <wp:extent cx="6719888" cy="5068390"/>
                <wp:effectExtent b="0" l="0" r="0" t="0"/>
                <wp:docPr id="2" name=""/>
                <a:graphic>
                  <a:graphicData uri="http://schemas.microsoft.com/office/word/2010/wordprocessingGroup">
                    <wpg:wgp>
                      <wpg:cNvGrpSpPr/>
                      <wpg:grpSpPr>
                        <a:xfrm>
                          <a:off x="278650" y="176575"/>
                          <a:ext cx="6719888" cy="5068390"/>
                          <a:chOff x="278650" y="176575"/>
                          <a:chExt cx="3348475" cy="2521625"/>
                        </a:xfrm>
                      </wpg:grpSpPr>
                      <pic:pic>
                        <pic:nvPicPr>
                          <pic:cNvPr id="4" name="Shape 4"/>
                          <pic:cNvPicPr preferRelativeResize="0"/>
                        </pic:nvPicPr>
                        <pic:blipFill rotWithShape="1">
                          <a:blip r:embed="rId6">
                            <a:alphaModFix/>
                          </a:blip>
                          <a:srcRect b="2068" l="6854" r="3184" t="55714"/>
                          <a:stretch/>
                        </pic:blipFill>
                        <pic:spPr>
                          <a:xfrm>
                            <a:off x="278650" y="176600"/>
                            <a:ext cx="3348474" cy="2284052"/>
                          </a:xfrm>
                          <a:prstGeom prst="rect">
                            <a:avLst/>
                          </a:prstGeom>
                          <a:noFill/>
                          <a:ln>
                            <a:noFill/>
                          </a:ln>
                        </pic:spPr>
                      </pic:pic>
                      <wps:wsp>
                        <wps:cNvSpPr txBox="1"/>
                        <wps:cNvPr id="5" name="Shape 5"/>
                        <wps:spPr>
                          <a:xfrm>
                            <a:off x="352900" y="2421300"/>
                            <a:ext cx="2647500" cy="27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2"/>
                                  <w:vertAlign w:val="baseline"/>
                                </w:rPr>
                                <w:t xml:space="preserve">Fuente: Diario últimas noticias, sección E</w:t>
                              </w:r>
                              <w:r w:rsidDel="00000000" w:rsidR="00000000" w:rsidRPr="00000000">
                                <w:rPr>
                                  <w:rFonts w:ascii="Calibri" w:cs="Calibri" w:eastAsia="Calibri" w:hAnsi="Calibri"/>
                                  <w:b w:val="0"/>
                                  <w:i w:val="0"/>
                                  <w:smallCaps w:val="0"/>
                                  <w:strike w:val="0"/>
                                  <w:color w:val="000000"/>
                                  <w:sz w:val="12"/>
                                  <w:vertAlign w:val="baseline"/>
                                </w:rPr>
                                <w:t xml:space="preserve">conomía</w:t>
                              </w:r>
                              <w:r w:rsidDel="00000000" w:rsidR="00000000" w:rsidRPr="00000000">
                                <w:rPr>
                                  <w:rFonts w:ascii="Calibri" w:cs="Calibri" w:eastAsia="Calibri" w:hAnsi="Calibri"/>
                                  <w:b w:val="0"/>
                                  <w:i w:val="0"/>
                                  <w:smallCaps w:val="0"/>
                                  <w:strike w:val="0"/>
                                  <w:color w:val="000000"/>
                                  <w:sz w:val="12"/>
                                  <w:vertAlign w:val="baseline"/>
                                </w:rPr>
                                <w:t xml:space="preserve"> </w:t>
                              </w:r>
                            </w:p>
                          </w:txbxContent>
                        </wps:txbx>
                        <wps:bodyPr anchorCtr="0" anchor="t" bIns="91425" lIns="91425" spcFirstLastPara="1" rIns="91425" wrap="square" tIns="91425">
                          <a:spAutoFit/>
                        </wps:bodyPr>
                      </wps:wsp>
                    </wpg:wgp>
                  </a:graphicData>
                </a:graphic>
              </wp:inline>
            </w:drawing>
          </mc:Choice>
          <mc:Fallback>
            <w:drawing>
              <wp:inline distB="114300" distT="114300" distL="114300" distR="114300">
                <wp:extent cx="6719888" cy="5068390"/>
                <wp:effectExtent b="0" l="0" r="0" t="0"/>
                <wp:docPr id="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719888" cy="50683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sz w:val="24"/>
          <w:szCs w:val="24"/>
          <w:rtl w:val="0"/>
        </w:rPr>
        <w:t xml:space="preserve">partir de la información entregada, realiza las siguientes actividades: </w:t>
      </w:r>
    </w:p>
    <w:p w:rsidR="00000000" w:rsidDel="00000000" w:rsidP="00000000" w:rsidRDefault="00000000" w:rsidRPr="00000000" w14:paraId="0000000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numPr>
          <w:ilvl w:val="0"/>
          <w:numId w:val="3"/>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Asume que:  30 días equivalen a un mes, y que 90 días equivalen a 3 meses.</w:t>
      </w:r>
    </w:p>
    <w:p w:rsidR="00000000" w:rsidDel="00000000" w:rsidP="00000000" w:rsidRDefault="00000000" w:rsidRPr="00000000" w14:paraId="0000000E">
      <w:pPr>
        <w:widowControl w:val="0"/>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widowControl w:val="0"/>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cuál banco conviene poner una determinada cantidad de dinero a 30 días? ¿Y a 90 días? ¿Y a un año? Verifica que la información de la segunda tabla es correcta para el caso de los bancos que ofrecen la mejor tasa de interés mensual. </w:t>
      </w:r>
    </w:p>
    <w:p w:rsidR="00000000" w:rsidDel="00000000" w:rsidP="00000000" w:rsidRDefault="00000000" w:rsidRPr="00000000" w14:paraId="0000001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widowControl w:val="0"/>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Supongamos que se pone un millón de pesos en el banco que tiene </w:t>
      </w:r>
      <w:r w:rsidDel="00000000" w:rsidR="00000000" w:rsidRPr="00000000">
        <w:rPr>
          <w:rFonts w:ascii="Calibri" w:cs="Calibri" w:eastAsia="Calibri" w:hAnsi="Calibri"/>
          <w:b w:val="1"/>
          <w:sz w:val="24"/>
          <w:szCs w:val="24"/>
          <w:rtl w:val="0"/>
        </w:rPr>
        <w:t xml:space="preserve">la mayor tasa de interés a 30 días</w:t>
      </w:r>
      <w:r w:rsidDel="00000000" w:rsidR="00000000" w:rsidRPr="00000000">
        <w:rPr>
          <w:rFonts w:ascii="Calibri" w:cs="Calibri" w:eastAsia="Calibri" w:hAnsi="Calibri"/>
          <w:sz w:val="24"/>
          <w:szCs w:val="24"/>
          <w:rtl w:val="0"/>
        </w:rPr>
        <w:t xml:space="preserve"> y cada mes se va renovando el plazo hasta completar un año. Asumiendo que la tasa de interés se mantiene fija durante el año, ¿qué conviene? ¿Hacer un depósito renovándose cada mes? ¿o un depósito a plazo a un año en ese banco? Justifica.</w:t>
      </w:r>
    </w:p>
    <w:p w:rsidR="00000000" w:rsidDel="00000000" w:rsidP="00000000" w:rsidRDefault="00000000" w:rsidRPr="00000000" w14:paraId="00000013">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responder a la pregunta, se sugiere utilizar una planilla de cálculo y completarla como se indica a continuación:  </w:t>
      </w:r>
    </w:p>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Pr>
        <w:drawing>
          <wp:inline distB="114300" distT="114300" distL="114300" distR="114300">
            <wp:extent cx="5362054" cy="1537507"/>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362054" cy="1537507"/>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widowControl w:val="0"/>
        <w:numPr>
          <w:ilvl w:val="0"/>
          <w:numId w:val="1"/>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Supongamos ahora que se está evaluando depositar un millón de pesos en el banco que tiene </w:t>
      </w:r>
      <w:r w:rsidDel="00000000" w:rsidR="00000000" w:rsidRPr="00000000">
        <w:rPr>
          <w:rFonts w:ascii="Calibri" w:cs="Calibri" w:eastAsia="Calibri" w:hAnsi="Calibri"/>
          <w:b w:val="1"/>
          <w:sz w:val="24"/>
          <w:szCs w:val="24"/>
          <w:rtl w:val="0"/>
        </w:rPr>
        <w:t xml:space="preserve">la mayor tasa de interés al año. </w:t>
      </w:r>
      <w:r w:rsidDel="00000000" w:rsidR="00000000" w:rsidRPr="00000000">
        <w:rPr>
          <w:rFonts w:ascii="Calibri" w:cs="Calibri" w:eastAsia="Calibri" w:hAnsi="Calibri"/>
          <w:sz w:val="24"/>
          <w:szCs w:val="24"/>
          <w:rtl w:val="0"/>
        </w:rPr>
        <w:t xml:space="preserve">Las opciones son:</w:t>
      </w:r>
    </w:p>
    <w:p w:rsidR="00000000" w:rsidDel="00000000" w:rsidP="00000000" w:rsidRDefault="00000000" w:rsidRPr="00000000" w14:paraId="00000019">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Depositar a un plazo de 30 días en el mismo banco, renovándolo cada mes hasta completar un año. </w:t>
      </w:r>
    </w:p>
    <w:p w:rsidR="00000000" w:rsidDel="00000000" w:rsidP="00000000" w:rsidRDefault="00000000" w:rsidRPr="00000000" w14:paraId="0000001B">
      <w:pPr>
        <w:widowControl w:val="0"/>
        <w:numPr>
          <w:ilvl w:val="1"/>
          <w:numId w:val="1"/>
        </w:numPr>
        <w:spacing w:line="240" w:lineRule="auto"/>
        <w:ind w:left="144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Depositar a un plazo de 90 días en el mismo banco, renovándolo cada período hasta completar un año. </w:t>
      </w:r>
    </w:p>
    <w:p w:rsidR="00000000" w:rsidDel="00000000" w:rsidP="00000000" w:rsidRDefault="00000000" w:rsidRPr="00000000" w14:paraId="0000001C">
      <w:pPr>
        <w:widowControl w:val="0"/>
        <w:numPr>
          <w:ilvl w:val="1"/>
          <w:numId w:val="1"/>
        </w:numPr>
        <w:spacing w:line="240" w:lineRule="auto"/>
        <w:ind w:left="144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Hacer un único depósito a un plazo de un año. </w:t>
      </w:r>
    </w:p>
    <w:p w:rsidR="00000000" w:rsidDel="00000000" w:rsidP="00000000" w:rsidRDefault="00000000" w:rsidRPr="00000000" w14:paraId="0000001D">
      <w:pPr>
        <w:widowControl w:val="0"/>
        <w:spacing w:line="240" w:lineRule="auto"/>
        <w:ind w:left="144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conviene más? Justifica tu respuesta. </w:t>
      </w:r>
      <w:r w:rsidDel="00000000" w:rsidR="00000000" w:rsidRPr="00000000">
        <w:rPr>
          <w:rFonts w:ascii="Calibri" w:cs="Calibri" w:eastAsia="Calibri" w:hAnsi="Calibri"/>
          <w:sz w:val="24"/>
          <w:szCs w:val="24"/>
          <w:rtl w:val="0"/>
        </w:rPr>
        <w:t xml:space="preserve">Se sugiere hacer una planilla de cálculo, tal como en la actividad anterior.  Se asume que las tasa de interés se mantienen fijas durante un año, que 30 días equivalen a un mes, y que 90 días equivalen a 3 meses.</w:t>
      </w:r>
    </w:p>
    <w:p w:rsidR="00000000" w:rsidDel="00000000" w:rsidP="00000000" w:rsidRDefault="00000000" w:rsidRPr="00000000" w14:paraId="0000001F">
      <w:pPr>
        <w:widowControl w:val="0"/>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la noticia se cubrió una tasa de interés de un banco. ¿Cuál es el valor de esa tasa de interés, dada la segunda tabla?  </w:t>
      </w:r>
    </w:p>
    <w:p w:rsidR="00000000" w:rsidDel="00000000" w:rsidP="00000000" w:rsidRDefault="00000000" w:rsidRPr="00000000" w14:paraId="00000021">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Calibri" w:cs="Calibri" w:eastAsia="Calibri" w:hAnsi="Calibri"/>
          <w:color w:val="073763"/>
          <w:sz w:val="18"/>
          <w:szCs w:val="18"/>
        </w:rPr>
      </w:pPr>
      <w:r w:rsidDel="00000000" w:rsidR="00000000" w:rsidRPr="00000000">
        <w:rPr>
          <w:rFonts w:ascii="Roboto" w:cs="Roboto" w:eastAsia="Roboto" w:hAnsi="Roboto"/>
          <w:color w:val="073763"/>
          <w:sz w:val="15"/>
          <w:szCs w:val="15"/>
          <w:highlight w:val="white"/>
          <w:rtl w:val="0"/>
        </w:rPr>
        <w:t xml:space="preserve"> </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pBd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8">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spacing w:after="160"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p>
    <w:p w:rsidR="00000000" w:rsidDel="00000000" w:rsidP="00000000" w:rsidRDefault="00000000" w:rsidRPr="00000000" w14:paraId="0000003B">
      <w:pPr>
        <w:spacing w:line="276" w:lineRule="auto"/>
        <w:rPr>
          <w:rFonts w:ascii="Calibri" w:cs="Calibri" w:eastAsia="Calibri" w:hAnsi="Calibri"/>
        </w:rPr>
      </w:pPr>
      <w:r w:rsidDel="00000000" w:rsidR="00000000" w:rsidRPr="00000000">
        <w:rPr>
          <w:rtl w:val="0"/>
        </w:rPr>
      </w:r>
    </w:p>
    <w:tbl>
      <w:tblPr>
        <w:tblStyle w:val="Table1"/>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255"/>
        <w:gridCol w:w="7650"/>
        <w:tblGridChange w:id="0">
          <w:tblGrid>
            <w:gridCol w:w="1005"/>
            <w:gridCol w:w="255"/>
            <w:gridCol w:w="7650"/>
          </w:tblGrid>
        </w:tblGridChange>
      </w:tblGrid>
      <w:tr>
        <w:trPr>
          <w:cantSplit w:val="0"/>
          <w:trHeight w:val="440" w:hRule="atLeast"/>
          <w:tblHeader w:val="0"/>
        </w:trPr>
        <w:tc>
          <w:tcPr>
            <w:tcBorders>
              <w:left w:color="ffffff" w:space="0" w:sz="8" w:val="single"/>
              <w:right w:color="ffffff" w:space="0" w:sz="8" w:val="single"/>
            </w:tcBorders>
          </w:tcPr>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3D">
            <w:pPr>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3E">
            <w:pPr>
              <w:spacing w:before="240" w:line="276" w:lineRule="auto"/>
              <w:rPr>
                <w:color w:val="202124"/>
                <w:sz w:val="24"/>
                <w:szCs w:val="24"/>
                <w:highlight w:val="white"/>
              </w:rPr>
            </w:pPr>
            <w:r w:rsidDel="00000000" w:rsidR="00000000" w:rsidRPr="00000000">
              <w:rPr>
                <w:rFonts w:ascii="Calibri" w:cs="Calibri" w:eastAsia="Calibri" w:hAnsi="Calibri"/>
                <w:b w:val="1"/>
                <w:sz w:val="24"/>
                <w:szCs w:val="24"/>
                <w:rtl w:val="0"/>
              </w:rPr>
              <w:t xml:space="preserve"> </w:t>
            </w:r>
            <w:r w:rsidDel="00000000" w:rsidR="00000000" w:rsidRPr="00000000">
              <w:rPr>
                <w:color w:val="202124"/>
                <w:sz w:val="24"/>
                <w:szCs w:val="24"/>
                <w:highlight w:val="white"/>
                <w:rtl w:val="0"/>
              </w:rPr>
              <w:t xml:space="preserve">1. </w:t>
            </w:r>
          </w:p>
          <w:p w:rsidR="00000000" w:rsidDel="00000000" w:rsidP="00000000" w:rsidRDefault="00000000" w:rsidRPr="00000000" w14:paraId="0000003F">
            <w:pPr>
              <w:spacing w:before="240" w:line="276" w:lineRule="auto"/>
              <w:rPr>
                <w:color w:val="202124"/>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wp:posOffset>
                  </wp:positionH>
                  <wp:positionV relativeFrom="paragraph">
                    <wp:posOffset>176132</wp:posOffset>
                  </wp:positionV>
                  <wp:extent cx="4404798" cy="772077"/>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404798" cy="772077"/>
                          </a:xfrm>
                          <a:prstGeom prst="rect"/>
                          <a:ln/>
                        </pic:spPr>
                      </pic:pic>
                    </a:graphicData>
                  </a:graphic>
                </wp:anchor>
              </w:drawing>
            </w:r>
          </w:p>
          <w:p w:rsidR="00000000" w:rsidDel="00000000" w:rsidP="00000000" w:rsidRDefault="00000000" w:rsidRPr="00000000" w14:paraId="00000040">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Sí, es correcta la información que se entrega para la tasa mensual de 0,92%. </w:t>
            </w:r>
            <w:r w:rsidDel="00000000" w:rsidR="00000000" w:rsidRPr="00000000">
              <w:rPr>
                <w:rtl w:val="0"/>
              </w:rPr>
            </w:r>
          </w:p>
        </w:tc>
      </w:tr>
    </w:tbl>
    <w:p w:rsidR="00000000" w:rsidDel="00000000" w:rsidP="00000000" w:rsidRDefault="00000000" w:rsidRPr="00000000" w14:paraId="00000043">
      <w:pPr>
        <w:spacing w:before="240" w:line="276" w:lineRule="auto"/>
        <w:ind w:left="7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p>
    <w:p w:rsidR="00000000" w:rsidDel="00000000" w:rsidP="00000000" w:rsidRDefault="00000000" w:rsidRPr="00000000" w14:paraId="00000044">
      <w:pPr>
        <w:spacing w:before="240" w:line="276" w:lineRule="auto"/>
        <w:ind w:left="720" w:right="-40.8661417322827"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banco con mayor tasa de interés a los 30 días es el Banco Ripley, al calcular bajo el supuesto de mantener la tasa de interés durante los siguiente meses da un resultado de $122 815 de ganancia, mientras que al aplicar la tasa anual la ganancia es $93 700, por tanto </w:t>
      </w:r>
      <w:r w:rsidDel="00000000" w:rsidR="00000000" w:rsidRPr="00000000">
        <w:rPr>
          <w:rFonts w:ascii="Calibri" w:cs="Calibri" w:eastAsia="Calibri" w:hAnsi="Calibri"/>
          <w:sz w:val="24"/>
          <w:szCs w:val="24"/>
          <w:rtl w:val="0"/>
        </w:rPr>
        <w:t xml:space="preserve">bajo el supuesto es más conveniente la opción de renovar mes a mes. </w:t>
      </w:r>
    </w:p>
    <w:p w:rsidR="00000000" w:rsidDel="00000000" w:rsidP="00000000" w:rsidRDefault="00000000" w:rsidRPr="00000000" w14:paraId="00000045">
      <w:pPr>
        <w:spacing w:before="240" w:line="276" w:lineRule="auto"/>
        <w:ind w:left="720" w:right="-40.8661417322827"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spacing w:line="276" w:lineRule="auto"/>
        <w:jc w:val="right"/>
        <w:rPr>
          <w:rFonts w:ascii="Calibri" w:cs="Calibri" w:eastAsia="Calibri" w:hAnsi="Calibri"/>
        </w:rPr>
      </w:pPr>
      <w:r w:rsidDel="00000000" w:rsidR="00000000" w:rsidRPr="00000000">
        <w:rPr>
          <w:rFonts w:ascii="Calibri" w:cs="Calibri" w:eastAsia="Calibri" w:hAnsi="Calibri"/>
        </w:rPr>
        <mc:AlternateContent>
          <mc:Choice Requires="wpg">
            <w:drawing>
              <wp:inline distB="114300" distT="114300" distL="114300" distR="114300">
                <wp:extent cx="4743450" cy="1102751"/>
                <wp:effectExtent b="0" l="0" r="0" t="0"/>
                <wp:docPr id="3" name=""/>
                <a:graphic>
                  <a:graphicData uri="http://schemas.microsoft.com/office/word/2010/wordprocessingGroup">
                    <wpg:wgp>
                      <wpg:cNvGrpSpPr/>
                      <wpg:grpSpPr>
                        <a:xfrm>
                          <a:off x="113200" y="1139050"/>
                          <a:ext cx="4743450" cy="1102751"/>
                          <a:chOff x="113200" y="1139050"/>
                          <a:chExt cx="5553275" cy="1276350"/>
                        </a:xfrm>
                      </wpg:grpSpPr>
                      <pic:pic>
                        <pic:nvPicPr>
                          <pic:cNvPr id="6" name="Shape 6"/>
                          <pic:cNvPicPr preferRelativeResize="0"/>
                        </pic:nvPicPr>
                        <pic:blipFill rotWithShape="1">
                          <a:blip r:embed="rId11">
                            <a:alphaModFix/>
                          </a:blip>
                          <a:srcRect b="0" l="0" r="0" t="29238"/>
                          <a:stretch/>
                        </pic:blipFill>
                        <pic:spPr>
                          <a:xfrm>
                            <a:off x="942050" y="1777225"/>
                            <a:ext cx="4724406" cy="638175"/>
                          </a:xfrm>
                          <a:prstGeom prst="rect">
                            <a:avLst/>
                          </a:prstGeom>
                          <a:noFill/>
                          <a:ln>
                            <a:noFill/>
                          </a:ln>
                        </pic:spPr>
                      </pic:pic>
                      <pic:pic>
                        <pic:nvPicPr>
                          <pic:cNvPr id="7" name="Shape 7"/>
                          <pic:cNvPicPr preferRelativeResize="0"/>
                        </pic:nvPicPr>
                        <pic:blipFill>
                          <a:blip r:embed="rId12">
                            <a:alphaModFix/>
                          </a:blip>
                          <a:stretch>
                            <a:fillRect/>
                          </a:stretch>
                        </pic:blipFill>
                        <pic:spPr>
                          <a:xfrm>
                            <a:off x="113200" y="1139050"/>
                            <a:ext cx="5553242" cy="638175"/>
                          </a:xfrm>
                          <a:prstGeom prst="rect">
                            <a:avLst/>
                          </a:prstGeom>
                          <a:noFill/>
                          <a:ln>
                            <a:noFill/>
                          </a:ln>
                        </pic:spPr>
                      </pic:pic>
                    </wpg:wgp>
                  </a:graphicData>
                </a:graphic>
              </wp:inline>
            </w:drawing>
          </mc:Choice>
          <mc:Fallback>
            <w:drawing>
              <wp:inline distB="114300" distT="114300" distL="114300" distR="114300">
                <wp:extent cx="4743450" cy="1102751"/>
                <wp:effectExtent b="0" l="0" r="0" t="0"/>
                <wp:docPr id="3"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4743450" cy="1102751"/>
                        </a:xfrm>
                        <a:prstGeom prst="rect"/>
                        <a:ln/>
                      </pic:spPr>
                    </pic:pic>
                  </a:graphicData>
                </a:graphic>
              </wp:inline>
            </w:drawing>
          </mc:Fallback>
        </mc:AlternateContent>
      </w: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76" w:lineRule="auto"/>
        <w:jc w:val="right"/>
        <w:rPr>
          <w:color w:val="202124"/>
          <w:sz w:val="24"/>
          <w:szCs w:val="24"/>
          <w:highlight w:val="white"/>
        </w:rPr>
      </w:pPr>
      <w:r w:rsidDel="00000000" w:rsidR="00000000" w:rsidRPr="00000000">
        <w:rPr>
          <w:color w:val="202124"/>
          <w:sz w:val="24"/>
          <w:szCs w:val="24"/>
          <w:highlight w:val="white"/>
        </w:rPr>
        <w:drawing>
          <wp:inline distB="114300" distT="114300" distL="114300" distR="114300">
            <wp:extent cx="1976438" cy="672396"/>
            <wp:effectExtent b="0" l="0" r="0" t="0"/>
            <wp:docPr id="5" name="image2.png"/>
            <a:graphic>
              <a:graphicData uri="http://schemas.openxmlformats.org/drawingml/2006/picture">
                <pic:pic>
                  <pic:nvPicPr>
                    <pic:cNvPr id="0" name="image2.png"/>
                    <pic:cNvPicPr preferRelativeResize="0"/>
                  </pic:nvPicPr>
                  <pic:blipFill>
                    <a:blip r:embed="rId14"/>
                    <a:srcRect b="0" l="0" r="80443" t="51140"/>
                    <a:stretch>
                      <a:fillRect/>
                    </a:stretch>
                  </pic:blipFill>
                  <pic:spPr>
                    <a:xfrm>
                      <a:off x="0" y="0"/>
                      <a:ext cx="1976438" cy="672396"/>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line="276" w:lineRule="auto"/>
        <w:jc w:val="center"/>
        <w:rPr>
          <w:color w:val="202124"/>
          <w:sz w:val="24"/>
          <w:szCs w:val="24"/>
          <w:highlight w:val="white"/>
        </w:rPr>
      </w:pPr>
      <w:r w:rsidDel="00000000" w:rsidR="00000000" w:rsidRPr="00000000">
        <w:rPr>
          <w:rtl w:val="0"/>
        </w:rPr>
      </w:r>
    </w:p>
    <w:p w:rsidR="00000000" w:rsidDel="00000000" w:rsidP="00000000" w:rsidRDefault="00000000" w:rsidRPr="00000000" w14:paraId="00000049">
      <w:pPr>
        <w:spacing w:line="276" w:lineRule="auto"/>
        <w:jc w:val="center"/>
        <w:rPr>
          <w:color w:val="202124"/>
          <w:sz w:val="24"/>
          <w:szCs w:val="24"/>
          <w:highlight w:val="white"/>
        </w:rPr>
      </w:pPr>
      <w:r w:rsidDel="00000000" w:rsidR="00000000" w:rsidRPr="00000000">
        <w:rPr>
          <w:rtl w:val="0"/>
        </w:rPr>
      </w:r>
    </w:p>
    <w:p w:rsidR="00000000" w:rsidDel="00000000" w:rsidP="00000000" w:rsidRDefault="00000000" w:rsidRPr="00000000" w14:paraId="0000004A">
      <w:pPr>
        <w:spacing w:line="276"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analizar la conveniencia, es relativo dado que es importante considerar que en la realidad las tasas varían de un periodo a otro, pueden bajar o subir dependiendo de factores económicos. Así también influirá la disponibilidad ya que no se permite rescatar el dinero antes de cumplir el plazo.</w:t>
      </w:r>
    </w:p>
    <w:p w:rsidR="00000000" w:rsidDel="00000000" w:rsidP="00000000" w:rsidRDefault="00000000" w:rsidRPr="00000000" w14:paraId="0000004B">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spacing w:line="276"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F">
      <w:pPr>
        <w:spacing w:line="276" w:lineRule="auto"/>
        <w:ind w:left="720" w:firstLine="0"/>
        <w:jc w:val="both"/>
        <w:rPr>
          <w:rFonts w:ascii="Calibri" w:cs="Calibri" w:eastAsia="Calibri" w:hAnsi="Calibri"/>
          <w:sz w:val="24"/>
          <w:szCs w:val="24"/>
        </w:rPr>
      </w:pPr>
      <w:r w:rsidDel="00000000" w:rsidR="00000000" w:rsidRPr="00000000">
        <w:rPr>
          <w:rtl w:val="0"/>
        </w:rPr>
      </w:r>
    </w:p>
    <w:tbl>
      <w:tblPr>
        <w:tblStyle w:val="Table2"/>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255"/>
        <w:gridCol w:w="7650"/>
        <w:tblGridChange w:id="0">
          <w:tblGrid>
            <w:gridCol w:w="1005"/>
            <w:gridCol w:w="255"/>
            <w:gridCol w:w="7650"/>
          </w:tblGrid>
        </w:tblGridChange>
      </w:tblGrid>
      <w:tr>
        <w:trPr>
          <w:cantSplit w:val="0"/>
          <w:trHeight w:val="440" w:hRule="atLeast"/>
          <w:tblHeader w:val="0"/>
        </w:trPr>
        <w:tc>
          <w:tcPr>
            <w:tcBorders>
              <w:left w:color="ffffff" w:space="0" w:sz="8" w:val="single"/>
              <w:right w:color="ffffff" w:space="0" w:sz="8" w:val="single"/>
            </w:tcBorders>
          </w:tcPr>
          <w:p w:rsidR="00000000" w:rsidDel="00000000" w:rsidP="00000000" w:rsidRDefault="00000000" w:rsidRPr="00000000" w14:paraId="00000050">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5A">
            <w:pPr>
              <w:numPr>
                <w:ilvl w:val="0"/>
                <w:numId w:val="2"/>
              </w:numPr>
              <w:spacing w:line="240" w:lineRule="auto"/>
              <w:ind w:left="720" w:hanging="360"/>
              <w:jc w:val="both"/>
              <w:rPr>
                <w:rFonts w:ascii="Calibri" w:cs="Calibri" w:eastAsia="Calibri" w:hAnsi="Calibri"/>
                <w:b w:val="1"/>
                <w:sz w:val="24"/>
                <w:szCs w:val="24"/>
                <w:u w:val="none"/>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B">
            <w:pPr>
              <w:spacing w:before="240" w:line="276" w:lineRule="auto"/>
              <w:ind w:left="0" w:firstLine="0"/>
              <w:rPr>
                <w:color w:val="202124"/>
                <w:sz w:val="24"/>
                <w:szCs w:val="24"/>
                <w:highlight w:val="white"/>
              </w:rPr>
            </w:pPr>
            <w:r w:rsidDel="00000000" w:rsidR="00000000" w:rsidRPr="00000000">
              <w:rPr>
                <w:color w:val="202124"/>
                <w:sz w:val="24"/>
                <w:szCs w:val="24"/>
                <w:highlight w:val="white"/>
                <w:rtl w:val="0"/>
              </w:rPr>
              <w:t xml:space="preserve">3.         </w:t>
            </w:r>
          </w:p>
          <w:tbl>
            <w:tblPr>
              <w:tblStyle w:val="Table3"/>
              <w:tblW w:w="4725.0" w:type="dxa"/>
              <w:jc w:val="left"/>
              <w:tblInd w:w="19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0"/>
              <w:gridCol w:w="2475"/>
              <w:gridCol w:w="1680"/>
              <w:tblGridChange w:id="0">
                <w:tblGrid>
                  <w:gridCol w:w="570"/>
                  <w:gridCol w:w="2475"/>
                  <w:gridCol w:w="1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Renovable cada: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30 días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$1 117 489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90 días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$1 115 055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1 año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sz w:val="24"/>
                      <w:szCs w:val="24"/>
                      <w:highlight w:val="white"/>
                    </w:rPr>
                  </w:pPr>
                  <w:r w:rsidDel="00000000" w:rsidR="00000000" w:rsidRPr="00000000">
                    <w:rPr>
                      <w:color w:val="202124"/>
                      <w:sz w:val="24"/>
                      <w:szCs w:val="24"/>
                      <w:highlight w:val="white"/>
                      <w:rtl w:val="0"/>
                    </w:rPr>
                    <w:t xml:space="preserve">$1 102 200</w:t>
                  </w:r>
                </w:p>
              </w:tc>
            </w:tr>
          </w:tbl>
          <w:p w:rsidR="00000000" w:rsidDel="00000000" w:rsidP="00000000" w:rsidRDefault="00000000" w:rsidRPr="00000000" w14:paraId="00000068">
            <w:pPr>
              <w:widowControl w:val="0"/>
              <w:ind w:left="0" w:firstLine="0"/>
              <w:jc w:val="both"/>
              <w:rPr>
                <w:color w:val="202124"/>
                <w:sz w:val="24"/>
                <w:szCs w:val="24"/>
                <w:highlight w:val="white"/>
              </w:rPr>
            </w:pPr>
            <w:r w:rsidDel="00000000" w:rsidR="00000000" w:rsidRPr="00000000">
              <w:rPr>
                <w:rtl w:val="0"/>
              </w:rPr>
            </w:r>
          </w:p>
          <w:p w:rsidR="00000000" w:rsidDel="00000000" w:rsidP="00000000" w:rsidRDefault="00000000" w:rsidRPr="00000000" w14:paraId="00000069">
            <w:pPr>
              <w:widowControl w:val="0"/>
              <w:ind w:left="0" w:firstLine="0"/>
              <w:jc w:val="both"/>
              <w:rPr>
                <w:rFonts w:ascii="Calibri" w:cs="Calibri" w:eastAsia="Calibri" w:hAnsi="Calibri"/>
              </w:rPr>
            </w:pPr>
            <w:r w:rsidDel="00000000" w:rsidR="00000000" w:rsidRPr="00000000">
              <w:rPr>
                <w:rFonts w:ascii="Calibri" w:cs="Calibri" w:eastAsia="Calibri" w:hAnsi="Calibri"/>
                <w:sz w:val="24"/>
                <w:szCs w:val="24"/>
                <w:rtl w:val="0"/>
              </w:rPr>
              <w:t xml:space="preserve">En banco Falabella, que tiene la tasa más </w:t>
            </w:r>
            <w:r w:rsidDel="00000000" w:rsidR="00000000" w:rsidRPr="00000000">
              <w:rPr>
                <w:rFonts w:ascii="Calibri" w:cs="Calibri" w:eastAsia="Calibri" w:hAnsi="Calibri"/>
                <w:sz w:val="24"/>
                <w:szCs w:val="24"/>
                <w:rtl w:val="0"/>
              </w:rPr>
              <w:t xml:space="preserve">alta</w:t>
            </w:r>
            <w:r w:rsidDel="00000000" w:rsidR="00000000" w:rsidRPr="00000000">
              <w:rPr>
                <w:rFonts w:ascii="Calibri" w:cs="Calibri" w:eastAsia="Calibri" w:hAnsi="Calibri"/>
                <w:sz w:val="24"/>
                <w:szCs w:val="24"/>
                <w:rtl w:val="0"/>
              </w:rPr>
              <w:t xml:space="preserve"> a 1 año de plazo, conviene ir renovando el depósito mes a mes en vez de poner el dinero de una vez al año (si la tasa se mantiene fija durante todo el periodo). </w:t>
            </w:r>
            <w:r w:rsidDel="00000000" w:rsidR="00000000" w:rsidRPr="00000000">
              <w:rPr>
                <w:rtl w:val="0"/>
              </w:rPr>
            </w:r>
          </w:p>
          <w:p w:rsidR="00000000" w:rsidDel="00000000" w:rsidP="00000000" w:rsidRDefault="00000000" w:rsidRPr="00000000" w14:paraId="0000006A">
            <w:pPr>
              <w:widowControl w:val="0"/>
              <w:rPr>
                <w:rFonts w:ascii="Calibri" w:cs="Calibri" w:eastAsia="Calibri" w:hAnsi="Calibri"/>
                <w:b w:val="1"/>
                <w:sz w:val="24"/>
                <w:szCs w:val="24"/>
              </w:rPr>
            </w:pPr>
            <w:r w:rsidDel="00000000" w:rsidR="00000000" w:rsidRPr="00000000">
              <w:rPr>
                <w:rtl w:val="0"/>
              </w:rPr>
            </w:r>
          </w:p>
        </w:tc>
      </w:tr>
      <w:tr>
        <w:trPr>
          <w:cantSplit w:val="0"/>
          <w:trHeight w:val="440" w:hRule="atLeast"/>
          <w:tblHeader w:val="0"/>
        </w:trPr>
        <w:tc>
          <w:tcPr>
            <w:tcBorders>
              <w:left w:color="ffffff" w:space="0" w:sz="8" w:val="single"/>
              <w:right w:color="ffffff" w:space="0" w:sz="8" w:val="single"/>
            </w:tcBorders>
          </w:tcPr>
          <w:p w:rsidR="00000000" w:rsidDel="00000000" w:rsidP="00000000" w:rsidRDefault="00000000" w:rsidRPr="00000000" w14:paraId="0000006B">
            <w:pPr>
              <w:widowControl w:val="0"/>
              <w:spacing w:line="240" w:lineRule="auto"/>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6C">
            <w:pPr>
              <w:spacing w:line="240" w:lineRule="auto"/>
              <w:ind w:left="720" w:hanging="36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D">
            <w:pPr>
              <w:widowControl w:val="0"/>
              <w:ind w:left="0" w:firstLine="0"/>
              <w:rPr>
                <w:color w:val="202124"/>
                <w:sz w:val="24"/>
                <w:szCs w:val="24"/>
                <w:highlight w:val="white"/>
              </w:rPr>
            </w:pPr>
            <w:r w:rsidDel="00000000" w:rsidR="00000000" w:rsidRPr="00000000">
              <w:rPr>
                <w:color w:val="202124"/>
                <w:sz w:val="24"/>
                <w:szCs w:val="24"/>
                <w:highlight w:val="white"/>
                <w:rtl w:val="0"/>
              </w:rPr>
              <w:t xml:space="preserve">4. </w:t>
            </w:r>
            <w:r w:rsidDel="00000000" w:rsidR="00000000" w:rsidRPr="00000000">
              <w:rPr>
                <w:rFonts w:ascii="Calibri" w:cs="Calibri" w:eastAsia="Calibri" w:hAnsi="Calibri"/>
                <w:sz w:val="24"/>
                <w:szCs w:val="24"/>
                <w:rtl w:val="0"/>
              </w:rPr>
              <w:t xml:space="preserve">La tasa de interés mensual correspondiente al banco Estado es de 0,88% </w:t>
            </w:r>
            <w:r w:rsidDel="00000000" w:rsidR="00000000" w:rsidRPr="00000000">
              <w:rPr>
                <w:rtl w:val="0"/>
              </w:rPr>
            </w:r>
          </w:p>
        </w:tc>
      </w:tr>
    </w:tbl>
    <w:p w:rsidR="00000000" w:rsidDel="00000000" w:rsidP="00000000" w:rsidRDefault="00000000" w:rsidRPr="00000000" w14:paraId="0000006E">
      <w:pPr>
        <w:widowControl w:val="0"/>
        <w:spacing w:line="240" w:lineRule="auto"/>
        <w:rPr>
          <w:color w:val="202124"/>
          <w:sz w:val="24"/>
          <w:szCs w:val="24"/>
          <w:highlight w:val="white"/>
        </w:rPr>
      </w:pPr>
      <w:r w:rsidDel="00000000" w:rsidR="00000000" w:rsidRPr="00000000">
        <w:rPr>
          <w:rtl w:val="0"/>
        </w:rPr>
      </w:r>
    </w:p>
    <w:p w:rsidR="00000000" w:rsidDel="00000000" w:rsidP="00000000" w:rsidRDefault="00000000" w:rsidRPr="00000000" w14:paraId="0000006F">
      <w:pPr>
        <w:widowControl w:val="0"/>
        <w:spacing w:line="240" w:lineRule="auto"/>
        <w:ind w:left="720" w:firstLine="720"/>
        <w:rPr>
          <w:color w:val="202124"/>
          <w:sz w:val="24"/>
          <w:szCs w:val="24"/>
          <w:highlight w:val="white"/>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tl w:val="0"/>
        </w:rPr>
      </w:r>
    </w:p>
    <w:sectPr>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4.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