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Fenilcetonuria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Ejercicio 1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 caso peligroso que podría ocurrir al tomar el test, es un resultado tipo falso negativo, es decir, que un recién nacido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dé negativo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test cuando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tiene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enfermedad. Considerando los siguientes eventos,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: Un recién nacido tiene PKU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 : El test da positivo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Escribe en palabras las siguientes probabilidades: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 ( B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 (B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|A)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Ejercicio 2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Considerando,</w:t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Nunito Medium" w:cs="Nunito Medium" w:eastAsia="Nunito Medium" w:hAnsi="Nunito Medium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regla 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Laplace: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</w:t>
      </w:r>
      <m:oMath>
        <m:r>
          <w:rPr>
            <w:rFonts w:ascii="Calibri" w:cs="Calibri" w:eastAsia="Calibri" w:hAnsi="Calibri"/>
            <w:sz w:val="26"/>
            <w:szCs w:val="26"/>
          </w:rPr>
          <m:t xml:space="preserve">P</m:t>
        </m:r>
        <m:d>
          <m:dPr>
            <m:begChr m:val="("/>
            <m:endChr m:val=")"/>
            <m:ctrlPr>
              <w:rPr>
                <w:rFonts w:ascii="Calibri" w:cs="Calibri" w:eastAsia="Calibri" w:hAnsi="Calibri"/>
                <w:sz w:val="26"/>
                <w:szCs w:val="26"/>
              </w:rPr>
            </m:ctrlPr>
          </m:dPr>
          <m:e>
            <m:r>
              <w:rPr>
                <w:rFonts w:ascii="Calibri" w:cs="Calibri" w:eastAsia="Calibri" w:hAnsi="Calibri"/>
                <w:sz w:val="26"/>
                <w:szCs w:val="26"/>
              </w:rPr>
              <m:t xml:space="preserve">A</m:t>
            </m:r>
          </m:e>
        </m:d>
        <m:r>
          <w:rPr>
            <w:rFonts w:ascii="Calibri" w:cs="Calibri" w:eastAsia="Calibri" w:hAnsi="Calibri"/>
            <w:sz w:val="36"/>
            <w:szCs w:val="36"/>
          </w:rPr>
          <m:t xml:space="preserve">=</m:t>
        </m:r>
        <m:f>
          <m:fPr>
            <m:ctrlPr>
              <w:rPr>
                <w:rFonts w:ascii="Calibri" w:cs="Calibri" w:eastAsia="Calibri" w:hAnsi="Calibri"/>
                <w:sz w:val="36"/>
                <w:szCs w:val="36"/>
              </w:rPr>
            </m:ctrlPr>
          </m:fPr>
          <m:num>
            <m:r>
              <w:rPr>
                <w:rFonts w:ascii="Calibri" w:cs="Calibri" w:eastAsia="Calibri" w:hAnsi="Calibri"/>
                <w:sz w:val="36"/>
                <w:szCs w:val="36"/>
              </w:rPr>
              <m:t xml:space="preserve">Cant. de casos favorables</m:t>
            </m:r>
          </m:num>
          <m:den>
            <m:r>
              <w:rPr>
                <w:rFonts w:ascii="Calibri" w:cs="Calibri" w:eastAsia="Calibri" w:hAnsi="Calibri"/>
                <w:sz w:val="36"/>
                <w:szCs w:val="36"/>
              </w:rPr>
              <m:t xml:space="preserve">Cant. de casos totales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4"/>
        </w:numPr>
        <w:spacing w:line="240" w:lineRule="auto"/>
        <w:ind w:left="720" w:hanging="360"/>
        <w:jc w:val="both"/>
        <w:rPr>
          <w:rFonts w:ascii="Nunito Medium" w:cs="Nunito Medium" w:eastAsia="Nunito Medium" w:hAnsi="Nunito Medium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siguientes colores en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Diagrama de conjuntos: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4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rojo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representar el “conjunto de casos favorables”,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4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azul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el “conjunto de los casos totales”. 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Identifica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 (B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|A)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3567981" cy="1802770"/>
            <wp:effectExtent b="0" l="0" r="0" t="0"/>
            <wp:docPr id="2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5861" l="0" r="0" t="5669"/>
                    <a:stretch>
                      <a:fillRect/>
                    </a:stretch>
                  </pic:blipFill>
                  <pic:spPr>
                    <a:xfrm>
                      <a:off x="0" y="0"/>
                      <a:ext cx="3567981" cy="1802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Achura las zonas con el color indicado.</w:t>
      </w:r>
    </w:p>
    <w:p w:rsidR="00000000" w:rsidDel="00000000" w:rsidP="00000000" w:rsidRDefault="00000000" w:rsidRPr="00000000" w14:paraId="00000024">
      <w:pPr>
        <w:widowControl w:val="0"/>
        <w:spacing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576763" cy="2820563"/>
            <wp:effectExtent b="0" l="0" r="0" t="0"/>
            <wp:docPr id="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2820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Ejercicio 3</w:t>
      </w:r>
    </w:p>
    <w:p w:rsidR="00000000" w:rsidDel="00000000" w:rsidP="00000000" w:rsidRDefault="00000000" w:rsidRPr="00000000" w14:paraId="00000028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 tu respuesta al ejercicio anterior, y el hecho de que </w:t>
      </w:r>
    </w:p>
    <w:p w:rsidR="00000000" w:rsidDel="00000000" w:rsidP="00000000" w:rsidRDefault="00000000" w:rsidRPr="00000000" w14:paraId="0000002A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3759038" cy="2441696"/>
            <wp:effectExtent b="0" l="0" r="0" t="0"/>
            <wp:docPr id="2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5066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9038" cy="24416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constatado en la pregunta anterior. Indica cuál es el resultado de la suma, </w:t>
      </w:r>
    </w:p>
    <w:p w:rsidR="00000000" w:rsidDel="00000000" w:rsidP="00000000" w:rsidRDefault="00000000" w:rsidRPr="00000000" w14:paraId="0000002D">
      <w:pPr>
        <w:widowControl w:val="0"/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7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 (B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c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|A) + P (B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|A)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Ejercicio 4</w:t>
      </w:r>
    </w:p>
    <w:p w:rsidR="00000000" w:rsidDel="00000000" w:rsidP="00000000" w:rsidRDefault="00000000" w:rsidRPr="00000000" w14:paraId="00000036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 tu respuesta al ejercicio anterior, determina la probabilidad de obtener un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falso negativo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la prueba de PKU, es decir, la probabilidad de que un recién nacido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dé negativo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test cuando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tiene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la enfermedad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before="20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5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8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795"/>
        <w:gridCol w:w="7485"/>
        <w:tblGridChange w:id="0">
          <w:tblGrid>
            <w:gridCol w:w="795"/>
            <w:gridCol w:w="7485"/>
          </w:tblGrid>
        </w:tblGridChange>
      </w:tblGrid>
      <w:tr>
        <w:trPr>
          <w:cantSplit w:val="0"/>
          <w:trHeight w:val="612.3242187499999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 ( B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c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 : Probabilidad de que el test de PKU dé negativo.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 (B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vertAlign w:val="superscript"/>
                <w:rtl w:val="0"/>
              </w:rPr>
              <w:t xml:space="preserve">c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|A): Probabilidad de que el test dé negativo,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sabiendo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que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el recién nacido tiene PKU.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14300" distT="114300" distL="114300" distR="114300">
                  <wp:extent cx="3710908" cy="1905394"/>
                  <wp:effectExtent b="0" l="0" r="0" t="0"/>
                  <wp:docPr id="2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908" cy="19053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144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114300" distT="114300" distL="114300" distR="114300">
                  <wp:extent cx="3043835" cy="1909487"/>
                  <wp:effectExtent b="0" l="0" r="0" t="0"/>
                  <wp:docPr id="19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835" cy="19094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 (B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c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|A) + P (B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|A)  = 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 (B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c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|A)  = 1 - P (B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|A)</w:t>
            </w:r>
          </w:p>
          <w:p w:rsidR="00000000" w:rsidDel="00000000" w:rsidP="00000000" w:rsidRDefault="00000000" w:rsidRPr="00000000" w14:paraId="0000005E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 (B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c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|A)  = 1 - 0,978</w:t>
            </w:r>
          </w:p>
          <w:p w:rsidR="00000000" w:rsidDel="00000000" w:rsidP="00000000" w:rsidRDefault="00000000" w:rsidRPr="00000000" w14:paraId="0000005F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 (B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c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|A)  = 0,022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16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0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Medium-regular.ttf"/><Relationship Id="rId2" Type="http://schemas.openxmlformats.org/officeDocument/2006/relationships/font" Target="fonts/NunitoMedium-bold.ttf"/><Relationship Id="rId3" Type="http://schemas.openxmlformats.org/officeDocument/2006/relationships/font" Target="fonts/NunitoMedium-italic.ttf"/><Relationship Id="rId4" Type="http://schemas.openxmlformats.org/officeDocument/2006/relationships/font" Target="fonts/Nunito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JTDDxulBYqrnC5SXNeE+uksvQ==">AMUW2mVDbQKy0j7gUX227D6RCWI6bzeyS7kyWGnO6+SJodljWC9qT9F/vUVzoDdIPCLmLd8dPCNdlx9KC8HLKiDzOH75d4ByyDJPiQIgxnVnqNGpD8iYbVg=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