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Control de la población de castores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Recordemos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En la situación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la población de castores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usamos el siguiente modelo para describir el aumento de la población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medidas de mitigación hasta el año 2018: </w:t>
      </w:r>
    </w:p>
    <w:p w:rsidR="00000000" w:rsidDel="00000000" w:rsidP="00000000" w:rsidRDefault="00000000" w:rsidRPr="00000000" w14:paraId="00000007">
      <w:pPr>
        <w:widowControl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76" w:lineRule="auto"/>
        <w:ind w:firstLine="2551.1811023622045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</w:r>
      <m:oMath>
        <m:r>
          <w:rPr>
            <w:rFonts w:ascii="Calibri" w:cs="Calibri" w:eastAsia="Calibri" w:hAnsi="Calibri"/>
            <w:sz w:val="26"/>
            <w:szCs w:val="26"/>
          </w:rPr>
          <m:t xml:space="preserve">C=20 ∙ </m:t>
        </m:r>
        <m:sSup>
          <m:sSupPr>
            <m:ctrlPr>
              <w:rPr>
                <w:rFonts w:ascii="Calibri" w:cs="Calibri" w:eastAsia="Calibri" w:hAnsi="Calibri"/>
                <w:sz w:val="26"/>
                <w:szCs w:val="26"/>
              </w:rPr>
            </m:ctrlPr>
          </m:sSupPr>
          <m:e>
            <m:r>
              <w:rPr>
                <w:rFonts w:ascii="Calibri" w:cs="Calibri" w:eastAsia="Calibri" w:hAnsi="Calibri"/>
                <w:sz w:val="26"/>
                <w:szCs w:val="26"/>
              </w:rPr>
              <m:t xml:space="preserve">(1,13)</m:t>
            </m:r>
          </m:e>
          <m:sup>
            <m:r>
              <w:rPr>
                <w:rFonts w:ascii="Calibri" w:cs="Calibri" w:eastAsia="Calibri" w:hAnsi="Calibri"/>
                <w:sz w:val="26"/>
                <w:szCs w:val="26"/>
              </w:rPr>
              <m:t xml:space="preserve">n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20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representa la cantidad inicial de castores; </w:t>
      </w:r>
    </w:p>
    <w:p w:rsidR="00000000" w:rsidDel="00000000" w:rsidP="00000000" w:rsidRDefault="00000000" w:rsidRPr="00000000" w14:paraId="0000000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n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representa el tiempo transcurrido en años desde 1946;</w:t>
      </w:r>
    </w:p>
    <w:p w:rsidR="00000000" w:rsidDel="00000000" w:rsidP="00000000" w:rsidRDefault="00000000" w:rsidRPr="00000000" w14:paraId="0000000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C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representa la cantidad total de castores. </w:t>
      </w:r>
    </w:p>
    <w:p w:rsidR="00000000" w:rsidDel="00000000" w:rsidP="00000000" w:rsidRDefault="00000000" w:rsidRPr="00000000" w14:paraId="0000000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En la situación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control de la población de castores”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usamos el siguiente modelo para describir el aumento de la población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medidas de mitigación desde el año 2018: </w:t>
      </w:r>
    </w:p>
    <w:p w:rsidR="00000000" w:rsidDel="00000000" w:rsidP="00000000" w:rsidRDefault="00000000" w:rsidRPr="00000000" w14:paraId="0000000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</w:t>
      </w:r>
      <m:oMath>
        <m:r>
          <w:rPr>
            <w:sz w:val="26"/>
            <w:szCs w:val="26"/>
          </w:rPr>
          <m:t xml:space="preserve">C=132+</m:t>
        </m:r>
        <m:rad>
          <m:radPr>
            <m:degHide m:val="1"/>
            <m:ctrlPr>
              <w:rPr>
                <w:sz w:val="26"/>
                <w:szCs w:val="26"/>
              </w:rPr>
            </m:ctrlPr>
          </m:radPr>
          <m:e>
            <m:r>
              <w:rPr>
                <w:sz w:val="26"/>
                <w:szCs w:val="26"/>
              </w:rPr>
              <m:t xml:space="preserve">0,2</m:t>
            </m:r>
            <m:r>
              <w:rPr>
                <w:sz w:val="26"/>
                <w:szCs w:val="26"/>
              </w:rPr>
              <m:t>⋅</m:t>
            </m:r>
            <m:r>
              <w:rPr>
                <w:sz w:val="26"/>
                <w:szCs w:val="26"/>
              </w:rPr>
              <m:t xml:space="preserve">m</m:t>
            </m:r>
          </m:e>
        </m:rad>
      </m:oMath>
      <w:r w:rsidDel="00000000" w:rsidR="00000000" w:rsidRPr="00000000">
        <w:rPr>
          <w:sz w:val="26"/>
          <w:szCs w:val="26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 representa la cantidad de castores (en miles)</w:t>
      </w:r>
    </w:p>
    <w:p w:rsidR="00000000" w:rsidDel="00000000" w:rsidP="00000000" w:rsidRDefault="00000000" w:rsidRPr="00000000" w14:paraId="0000001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  representa el tiempo transcurrido en años desde el año 2018</w:t>
      </w:r>
    </w:p>
    <w:p w:rsidR="00000000" w:rsidDel="00000000" w:rsidP="00000000" w:rsidRDefault="00000000" w:rsidRPr="00000000" w14:paraId="0000001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132  corresponde a la cantidad de castores que se asume hay el año 2018  (en miles)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 el recurso Geogebra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https://www.geogebra.org/m/xcvvjy6z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completar la tabla en la que describe el número de castores que habría en los años señalados usando los modelos anteriores.   </w:t>
      </w:r>
    </w:p>
    <w:tbl>
      <w:tblPr>
        <w:tblStyle w:val="Table1"/>
        <w:tblW w:w="88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860"/>
        <w:gridCol w:w="1785"/>
        <w:gridCol w:w="1697"/>
        <w:gridCol w:w="1697"/>
        <w:tblGridChange w:id="0">
          <w:tblGrid>
            <w:gridCol w:w="1860"/>
            <w:gridCol w:w="1860"/>
            <w:gridCol w:w="1785"/>
            <w:gridCol w:w="1697"/>
            <w:gridCol w:w="1697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Año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de castores 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sin </w:t>
            </w:r>
            <w:r w:rsidDel="00000000" w:rsidR="00000000" w:rsidRPr="00000000">
              <w:rPr>
                <w:rtl w:val="0"/>
              </w:rPr>
              <w:t xml:space="preserve">plan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mitigación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de castores 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 de mitigación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2030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2031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2032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2033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2034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cuánto aumentaría año a año el número de castores desde el 2031 en ambos modelos? ¿Qué opinas acerca de estas diferencias?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</w:t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20"/>
        <w:gridCol w:w="630"/>
        <w:gridCol w:w="7545"/>
        <w:tblGridChange w:id="0">
          <w:tblGrid>
            <w:gridCol w:w="1020"/>
            <w:gridCol w:w="630"/>
            <w:gridCol w:w="75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479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95"/>
              <w:gridCol w:w="1680"/>
              <w:gridCol w:w="1710"/>
              <w:gridCol w:w="1697"/>
              <w:gridCol w:w="1697"/>
              <w:tblGridChange w:id="0">
                <w:tblGrid>
                  <w:gridCol w:w="1695"/>
                  <w:gridCol w:w="1680"/>
                  <w:gridCol w:w="1710"/>
                  <w:gridCol w:w="1697"/>
                  <w:gridCol w:w="1697"/>
                </w:tblGrid>
              </w:tblGridChange>
            </w:tblGrid>
            <w:tr>
              <w:trPr>
                <w:cantSplit w:val="0"/>
                <w:trHeight w:val="632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shd w:fill="c0e2d7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line="240" w:lineRule="auto"/>
                    <w:jc w:val="center"/>
                    <w:rPr>
                      <w:vertAlign w:val="subscript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Año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shd w:fill="c0e2d7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Número de castores </w:t>
                  </w:r>
                </w:p>
                <w:p w:rsidR="00000000" w:rsidDel="00000000" w:rsidP="00000000" w:rsidRDefault="00000000" w:rsidRPr="00000000" w14:paraId="00000035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sin </w:t>
                  </w:r>
                  <w:r w:rsidDel="00000000" w:rsidR="00000000" w:rsidRPr="00000000">
                    <w:rPr>
                      <w:rtl w:val="0"/>
                    </w:rPr>
                    <w:t xml:space="preserve">plan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 de mitigación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shd w:fill="c0e2d7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Número de castores </w:t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con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plan de mitigación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2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2030</w:t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574 935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133 549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61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2031</w:t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649 677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133 612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61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2032</w:t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734 135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133 673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61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2033</w:t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829 572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133 732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61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2034</w:t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937 417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133 788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Act. 2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2040"/>
        <w:gridCol w:w="1680"/>
        <w:gridCol w:w="2145"/>
        <w:gridCol w:w="1575"/>
        <w:gridCol w:w="1697"/>
        <w:gridCol w:w="1697"/>
        <w:tblGridChange w:id="0">
          <w:tblGrid>
            <w:gridCol w:w="1335"/>
            <w:gridCol w:w="2040"/>
            <w:gridCol w:w="1680"/>
            <w:gridCol w:w="2145"/>
            <w:gridCol w:w="1575"/>
            <w:gridCol w:w="1697"/>
            <w:gridCol w:w="1697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Año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Diferencia año a año Número de castores </w:t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plan de mitigación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Aumento año 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Diferencia año a año</w:t>
            </w:r>
          </w:p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de castores </w:t>
            </w:r>
          </w:p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plan de mitigación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Aumento año 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2030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2031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649 677 - 574 935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74 742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133 612 - 133 549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63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2032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734 135 - 649 677 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84 458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133 673 - 133 612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61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2033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829 572 - 734 135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95 437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133 732 - 133 673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2034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937 417 - 829 572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107 845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133 788 -  133 732 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56</w:t>
            </w:r>
          </w:p>
        </w:tc>
      </w:tr>
    </w:tbl>
    <w:p w:rsidR="00000000" w:rsidDel="00000000" w:rsidP="00000000" w:rsidRDefault="00000000" w:rsidRPr="00000000" w14:paraId="0000006D">
      <w:pPr>
        <w:spacing w:after="160" w:line="259" w:lineRule="auto"/>
        <w:rPr>
          <w:rFonts w:ascii="Calibri" w:cs="Calibri" w:eastAsia="Calibri" w:hAnsi="Calibri"/>
          <w:color w:val="0000ff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eogebra.org/m/xcvvjy6z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