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Nunito" w:cs="Nunito" w:eastAsia="Nunito" w:hAnsi="Nuni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59" w:lineRule="auto"/>
        <w:jc w:val="center"/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36"/>
          <w:szCs w:val="36"/>
          <w:rtl w:val="0"/>
        </w:rPr>
        <w:t xml:space="preserve">Hoja de Actividades</w:t>
      </w:r>
    </w:p>
    <w:p w:rsidR="00000000" w:rsidDel="00000000" w:rsidP="00000000" w:rsidRDefault="00000000" w:rsidRPr="00000000" w14:paraId="00000003">
      <w:pPr>
        <w:pStyle w:val="Subtitle"/>
        <w:spacing w:after="160" w:line="259" w:lineRule="auto"/>
        <w:jc w:val="center"/>
        <w:rPr>
          <w:rFonts w:ascii="Nunito" w:cs="Nunito" w:eastAsia="Nunito" w:hAnsi="Nunito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color w:val="433b72"/>
          <w:sz w:val="28"/>
          <w:szCs w:val="28"/>
          <w:rtl w:val="0"/>
        </w:rPr>
        <w:t xml:space="preserve">Escenarios de aumento de temperatura de la Tierra</w:t>
      </w: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La temperatura media de la Tierra es ahora 1,1 °C más elevada que a finales del siglo XIX. Como vimos en la Infografía, El </w:t>
            </w:r>
            <w:hyperlink r:id="rId7">
              <w:r w:rsidDel="00000000" w:rsidR="00000000" w:rsidRPr="00000000">
                <w:rPr>
                  <w:rFonts w:ascii="Calibri" w:cs="Calibri" w:eastAsia="Calibri" w:hAnsi="Calibri"/>
                  <w:sz w:val="24"/>
                  <w:szCs w:val="24"/>
                  <w:rtl w:val="0"/>
                </w:rPr>
                <w:t xml:space="preserve">Acuerdo de París</w:t>
              </w:r>
            </w:hyperlink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de 2015 planteó la necesidad de hacer todos los esfuerzos posibles para que el aumento de la temperatura sea menor a 1,5 °C.</w:t>
            </w:r>
          </w:p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¿Cómo saber en qué año se alcanzará una variación de temperatura mayor a 1,5°C?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7">
      <w:pPr>
        <w:widowControl w:val="0"/>
        <w:spacing w:line="240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-212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-212" w:firstLine="0"/>
        <w:rPr>
          <w:rFonts w:ascii="Nunito" w:cs="Nunito" w:eastAsia="Nunito" w:hAnsi="Nunito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En el siguiente gráfico se muestran distintos escenarios futuros de aumento de temperatura suponiendo distintas tasas de emisiones de gases de efecto invernadero.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-141.73228346456688" w:firstLine="0"/>
        <w:jc w:val="center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-141.73228346456688" w:firstLine="0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5731200" cy="4610100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610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-141.73228346456688" w:firstLine="0"/>
        <w:jc w:val="center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-141.73228346456688" w:firstLine="0"/>
        <w:jc w:val="left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-141.73228346456688" w:firstLine="0"/>
        <w:jc w:val="left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-141.73228346456688" w:firstLine="0"/>
        <w:jc w:val="left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-141.73228346456688" w:firstLine="0"/>
        <w:jc w:val="left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-141.73228346456688" w:firstLine="0"/>
        <w:jc w:val="left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rtl w:val="0"/>
        </w:rPr>
        <w:t xml:space="preserve">Actividad 1</w:t>
      </w:r>
    </w:p>
    <w:p w:rsidR="00000000" w:rsidDel="00000000" w:rsidP="00000000" w:rsidRDefault="00000000" w:rsidRPr="00000000" w14:paraId="00000012">
      <w:pPr>
        <w:spacing w:line="240" w:lineRule="auto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Para el </w:t>
      </w:r>
      <w:r w:rsidDel="00000000" w:rsidR="00000000" w:rsidRPr="00000000">
        <w:rPr>
          <w:rFonts w:ascii="Calibri" w:cs="Calibri" w:eastAsia="Calibri" w:hAnsi="Calibri"/>
          <w:sz w:val="24"/>
          <w:szCs w:val="24"/>
          <w:u w:val="single"/>
          <w:rtl w:val="0"/>
        </w:rPr>
        <w:t xml:space="preserve">escenario de emisiones altas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¿Cuándo se alcanzan las siguientes temperaturas?  (Consejo: utiliza una regla)</w:t>
      </w:r>
    </w:p>
    <w:p w:rsidR="00000000" w:rsidDel="00000000" w:rsidP="00000000" w:rsidRDefault="00000000" w:rsidRPr="00000000" w14:paraId="00000014">
      <w:pPr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1,5°C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2,5°C</w:t>
      </w:r>
    </w:p>
    <w:p w:rsidR="00000000" w:rsidDel="00000000" w:rsidP="00000000" w:rsidRDefault="00000000" w:rsidRPr="00000000" w14:paraId="00000017">
      <w:pPr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procedimiento hicieron para responder la pregunta anterior?</w:t>
      </w:r>
    </w:p>
    <w:p w:rsidR="00000000" w:rsidDel="00000000" w:rsidP="00000000" w:rsidRDefault="00000000" w:rsidRPr="00000000" w14:paraId="00000019">
      <w:pPr>
        <w:spacing w:line="240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numPr>
          <w:ilvl w:val="0"/>
          <w:numId w:val="1"/>
        </w:numPr>
        <w:spacing w:line="240" w:lineRule="auto"/>
        <w:ind w:left="720" w:right="-579.3307086614169" w:hanging="360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Usa el procedimiento anterior para completar la siguiente tabla,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240" w:lineRule="auto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805.000000000004" w:type="dxa"/>
        <w:jc w:val="center"/>
        <w:tblBorders>
          <w:top w:color="7fb59b" w:space="0" w:sz="12" w:val="single"/>
          <w:left w:color="7fb59b" w:space="0" w:sz="12" w:val="single"/>
          <w:bottom w:color="7fb59b" w:space="0" w:sz="12" w:val="single"/>
          <w:right w:color="7fb59b" w:space="0" w:sz="12" w:val="single"/>
          <w:insideH w:color="7fb59b" w:space="0" w:sz="12" w:val="single"/>
          <w:insideV w:color="7fb59b" w:space="0" w:sz="12" w:val="single"/>
        </w:tblBorders>
        <w:tblLayout w:type="fixed"/>
        <w:tblLook w:val="0600"/>
      </w:tblPr>
      <w:tblGrid>
        <w:gridCol w:w="820.3416149068325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tblGridChange w:id="0">
          <w:tblGrid>
            <w:gridCol w:w="820.3416149068325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T (°C)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0,25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0,5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0,75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1,25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1,5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1,75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2,25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2,5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2,75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3,25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3,5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3,75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t  (Años)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widowControl w:val="0"/>
        <w:spacing w:line="240" w:lineRule="auto"/>
        <w:ind w:left="0" w:right="-579.3307086614169" w:firstLine="0"/>
        <w:rPr>
          <w:rFonts w:ascii="Nunito" w:cs="Nunito" w:eastAsia="Nunito" w:hAnsi="Nunito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line="240" w:lineRule="auto"/>
        <w:ind w:left="720" w:right="-579.3307086614169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Grafica los datos obtenidos en la tabla anterior usando la temperatura como variable independiente. </w:t>
      </w:r>
    </w:p>
    <w:p w:rsidR="00000000" w:rsidDel="00000000" w:rsidP="00000000" w:rsidRDefault="00000000" w:rsidRPr="00000000" w14:paraId="00000041">
      <w:pPr>
        <w:widowControl w:val="0"/>
        <w:spacing w:line="240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Usa el gráfico construido en la pregunta anterior para responder lo siguiente </w:t>
      </w:r>
    </w:p>
    <w:p w:rsidR="00000000" w:rsidDel="00000000" w:rsidP="00000000" w:rsidRDefault="00000000" w:rsidRPr="00000000" w14:paraId="00000043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¿Cuántos años toma en este escenario pasar de 1,5°C a 2,5°C?</w:t>
      </w:r>
    </w:p>
    <w:p w:rsidR="00000000" w:rsidDel="00000000" w:rsidP="00000000" w:rsidRDefault="00000000" w:rsidRPr="00000000" w14:paraId="00000044">
      <w:pPr>
        <w:spacing w:line="240" w:lineRule="auto"/>
        <w:ind w:left="0" w:firstLine="0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ind w:left="0" w:firstLine="0"/>
        <w:jc w:val="left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ind w:left="0" w:firstLine="0"/>
        <w:jc w:val="left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ind w:left="0" w:firstLine="0"/>
        <w:jc w:val="left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ind w:left="-141.73228346456688" w:firstLine="0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rtl w:val="0"/>
        </w:rPr>
        <w:t xml:space="preserve">Actividad 2</w:t>
      </w:r>
    </w:p>
    <w:p w:rsidR="00000000" w:rsidDel="00000000" w:rsidP="00000000" w:rsidRDefault="00000000" w:rsidRPr="00000000" w14:paraId="00000049">
      <w:pPr>
        <w:ind w:left="-141.73228346456688" w:firstLine="0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ind w:left="-141.73228346456688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Para el </w:t>
      </w:r>
      <w:r w:rsidDel="00000000" w:rsidR="00000000" w:rsidRPr="00000000">
        <w:rPr>
          <w:rFonts w:ascii="Calibri" w:cs="Calibri" w:eastAsia="Calibri" w:hAnsi="Calibri"/>
          <w:sz w:val="24"/>
          <w:szCs w:val="24"/>
          <w:u w:val="single"/>
          <w:rtl w:val="0"/>
        </w:rPr>
        <w:t xml:space="preserve">escenario de emisiones intermedias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</w:t>
      </w:r>
    </w:p>
    <w:p w:rsidR="00000000" w:rsidDel="00000000" w:rsidP="00000000" w:rsidRDefault="00000000" w:rsidRPr="00000000" w14:paraId="0000004B">
      <w:pPr>
        <w:ind w:left="-141.73228346456688" w:firstLine="0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widowControl w:val="0"/>
        <w:numPr>
          <w:ilvl w:val="0"/>
          <w:numId w:val="3"/>
        </w:numPr>
        <w:spacing w:line="240" w:lineRule="auto"/>
        <w:ind w:left="720" w:right="-579.3307086614169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Usa el procedimiento desarrollado en la actividad anterior para completar la siguiente tabla,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widowControl w:val="0"/>
        <w:spacing w:line="240" w:lineRule="auto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805.000000000004" w:type="dxa"/>
        <w:jc w:val="center"/>
        <w:tblBorders>
          <w:top w:color="7fb59b" w:space="0" w:sz="12" w:val="single"/>
          <w:left w:color="7fb59b" w:space="0" w:sz="12" w:val="single"/>
          <w:bottom w:color="7fb59b" w:space="0" w:sz="12" w:val="single"/>
          <w:right w:color="7fb59b" w:space="0" w:sz="12" w:val="single"/>
          <w:insideH w:color="7fb59b" w:space="0" w:sz="12" w:val="single"/>
          <w:insideV w:color="7fb59b" w:space="0" w:sz="12" w:val="single"/>
        </w:tblBorders>
        <w:tblLayout w:type="fixed"/>
        <w:tblLook w:val="0600"/>
      </w:tblPr>
      <w:tblGrid>
        <w:gridCol w:w="820.3416149068325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gridCol w:w="499.0411490683232"/>
        <w:tblGridChange w:id="0">
          <w:tblGrid>
            <w:gridCol w:w="820.3416149068325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  <w:gridCol w:w="499.0411490683232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T (°C)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0,25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0,5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0,75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1,25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1,5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1,75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2,25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2,5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2,75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3,25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3,5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3,75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widowControl w:val="0"/>
              <w:spacing w:line="240" w:lineRule="auto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t  (Años)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0">
      <w:pPr>
        <w:widowControl w:val="0"/>
        <w:spacing w:line="240" w:lineRule="auto"/>
        <w:ind w:right="-579.3307086614169"/>
        <w:rPr>
          <w:rFonts w:ascii="Nunito" w:cs="Nunito" w:eastAsia="Nunito" w:hAnsi="Nunito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widowControl w:val="0"/>
        <w:spacing w:line="240" w:lineRule="auto"/>
        <w:ind w:left="720" w:right="-579.3307086614169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widowControl w:val="0"/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Grafica los datos obtenidos en la tabla anterior usando la temperatura como variable independiente. </w:t>
      </w:r>
    </w:p>
    <w:p w:rsidR="00000000" w:rsidDel="00000000" w:rsidP="00000000" w:rsidRDefault="00000000" w:rsidRPr="00000000" w14:paraId="00000073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widowControl w:val="0"/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Usa el gráfico construido en la pregunta anterior para responder lo siguiente </w:t>
      </w:r>
    </w:p>
    <w:p w:rsidR="00000000" w:rsidDel="00000000" w:rsidP="00000000" w:rsidRDefault="00000000" w:rsidRPr="00000000" w14:paraId="00000075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¿Cuántos años toma en este escenario pasar de 1,5°C a 2,5°C? ¿Demora más o menos tiempo que en el escenario de emisiones altas?</w:t>
      </w:r>
    </w:p>
    <w:p w:rsidR="00000000" w:rsidDel="00000000" w:rsidP="00000000" w:rsidRDefault="00000000" w:rsidRPr="00000000" w14:paraId="00000076">
      <w:pPr>
        <w:spacing w:line="240" w:lineRule="auto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ind w:left="425.19685039370086" w:firstLine="0"/>
        <w:jc w:val="left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ind w:left="720" w:firstLine="0"/>
        <w:jc w:val="center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ind w:left="-141.73228346456688" w:firstLine="0"/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rtl w:val="0"/>
        </w:rPr>
        <w:t xml:space="preserve">Actividad 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ind w:left="-141.73228346456688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Para el </w:t>
      </w:r>
      <w:r w:rsidDel="00000000" w:rsidR="00000000" w:rsidRPr="00000000">
        <w:rPr>
          <w:rFonts w:ascii="Calibri" w:cs="Calibri" w:eastAsia="Calibri" w:hAnsi="Calibri"/>
          <w:sz w:val="24"/>
          <w:szCs w:val="24"/>
          <w:u w:val="single"/>
          <w:rtl w:val="0"/>
        </w:rPr>
        <w:t xml:space="preserve">escenario de emisiones bajas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</w:t>
      </w:r>
    </w:p>
    <w:p w:rsidR="00000000" w:rsidDel="00000000" w:rsidP="00000000" w:rsidRDefault="00000000" w:rsidRPr="00000000" w14:paraId="0000007E">
      <w:pPr>
        <w:ind w:left="-141.73228346456688" w:firstLine="0"/>
        <w:rPr>
          <w:rFonts w:ascii="Calibri" w:cs="Calibri" w:eastAsia="Calibri" w:hAnsi="Calibri"/>
          <w:b w:val="1"/>
          <w:color w:val="433b7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-579.3307086614169" w:hanging="36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Usa el procedimiento desarrollado en la actividad anterior para completar la siguiente tabla,</w:t>
      </w:r>
    </w:p>
    <w:p w:rsidR="00000000" w:rsidDel="00000000" w:rsidP="00000000" w:rsidRDefault="00000000" w:rsidRPr="00000000" w14:paraId="00000080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widowControl w:val="0"/>
        <w:spacing w:line="240" w:lineRule="auto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5640.0" w:type="dxa"/>
        <w:jc w:val="center"/>
        <w:tblBorders>
          <w:top w:color="7fb59b" w:space="0" w:sz="12" w:val="single"/>
          <w:left w:color="7fb59b" w:space="0" w:sz="12" w:val="single"/>
          <w:bottom w:color="7fb59b" w:space="0" w:sz="12" w:val="single"/>
          <w:right w:color="7fb59b" w:space="0" w:sz="12" w:val="single"/>
          <w:insideH w:color="7fb59b" w:space="0" w:sz="12" w:val="single"/>
          <w:insideV w:color="7fb59b" w:space="0" w:sz="12" w:val="single"/>
        </w:tblBorders>
        <w:tblLayout w:type="fixed"/>
        <w:tblLook w:val="0600"/>
      </w:tblPr>
      <w:tblGrid>
        <w:gridCol w:w="825"/>
        <w:gridCol w:w="1065"/>
        <w:gridCol w:w="1155"/>
        <w:gridCol w:w="1290"/>
        <w:gridCol w:w="1305"/>
        <w:tblGridChange w:id="0">
          <w:tblGrid>
            <w:gridCol w:w="825"/>
            <w:gridCol w:w="1065"/>
            <w:gridCol w:w="1155"/>
            <w:gridCol w:w="1290"/>
            <w:gridCol w:w="130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T (°C)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            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widowControl w:val="0"/>
              <w:spacing w:line="240" w:lineRule="auto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t  (Años)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2032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2050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2064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widowControl w:val="0"/>
              <w:spacing w:line="240" w:lineRule="auto"/>
              <w:jc w:val="center"/>
              <w:rPr>
                <w:rFonts w:ascii="Nunito" w:cs="Nunito" w:eastAsia="Nunito" w:hAnsi="Nunito"/>
                <w:sz w:val="14"/>
                <w:szCs w:val="14"/>
              </w:rPr>
            </w:pPr>
            <w:r w:rsidDel="00000000" w:rsidR="00000000" w:rsidRPr="00000000">
              <w:rPr>
                <w:rFonts w:ascii="Nunito" w:cs="Nunito" w:eastAsia="Nunito" w:hAnsi="Nunito"/>
                <w:sz w:val="14"/>
                <w:szCs w:val="14"/>
                <w:rtl w:val="0"/>
              </w:rPr>
              <w:t xml:space="preserve">2100</w:t>
            </w:r>
          </w:p>
        </w:tc>
      </w:tr>
    </w:tbl>
    <w:p w:rsidR="00000000" w:rsidDel="00000000" w:rsidP="00000000" w:rsidRDefault="00000000" w:rsidRPr="00000000" w14:paraId="0000008C">
      <w:pPr>
        <w:widowControl w:val="0"/>
        <w:spacing w:line="240" w:lineRule="auto"/>
        <w:ind w:right="-579.3307086614169"/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numPr>
          <w:ilvl w:val="0"/>
          <w:numId w:val="2"/>
        </w:numPr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¿Cuál es el año en el que, para este escenario se alcanza una variación de 1.75°C?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36"/>
          <w:szCs w:val="36"/>
        </w:rPr>
        <w:drawing>
          <wp:inline distB="114300" distT="114300" distL="114300" distR="114300">
            <wp:extent cx="4757738" cy="3669941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57738" cy="366994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36"/>
          <w:szCs w:val="36"/>
        </w:rPr>
        <w:drawing>
          <wp:inline distB="114300" distT="114300" distL="114300" distR="114300">
            <wp:extent cx="4795838" cy="3701006"/>
            <wp:effectExtent b="0" l="0" r="0" t="0"/>
            <wp:docPr id="6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95838" cy="370100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headerReference r:id="rId11" w:type="default"/>
      <w:footerReference r:id="rId12" w:type="default"/>
      <w:pgSz w:h="16834" w:w="11909" w:orient="portrait"/>
      <w:pgMar w:bottom="1440" w:top="1440" w:left="1440" w:right="1440" w:header="0" w:footer="1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Nuni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A">
    <w:pPr>
      <w:ind w:left="-1440" w:right="-1434" w:firstLine="0"/>
      <w:rPr/>
    </w:pPr>
    <w:r w:rsidDel="00000000" w:rsidR="00000000" w:rsidRPr="00000000">
      <w:rPr/>
      <w:drawing>
        <wp:inline distB="114300" distT="114300" distL="114300" distR="114300">
          <wp:extent cx="8129588" cy="190500"/>
          <wp:effectExtent b="0" l="0" r="0" t="0"/>
          <wp:docPr id="3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129588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8">
    <w:pPr>
      <w:ind w:left="-1440" w:hanging="30"/>
      <w:rPr/>
    </w:pPr>
    <w:r w:rsidDel="00000000" w:rsidR="00000000" w:rsidRPr="00000000">
      <w:rPr/>
      <w:drawing>
        <wp:inline distB="114300" distT="114300" distL="114300" distR="114300">
          <wp:extent cx="7586663" cy="190500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86663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9">
    <w:pPr>
      <w:ind w:left="-1417" w:right="-1310" w:hanging="21.999999999999886"/>
      <w:jc w:val="right"/>
      <w:rPr/>
    </w:pPr>
    <w:r w:rsidDel="00000000" w:rsidR="00000000" w:rsidRPr="00000000">
      <w:rPr/>
      <w:drawing>
        <wp:inline distB="114300" distT="114300" distL="114300" distR="114300">
          <wp:extent cx="843915" cy="654429"/>
          <wp:effectExtent b="0" l="0" r="0" t="0"/>
          <wp:docPr id="4" name="image6.png"/>
          <a:graphic>
            <a:graphicData uri="http://schemas.openxmlformats.org/drawingml/2006/picture">
              <pic:pic>
                <pic:nvPicPr>
                  <pic:cNvPr id="0" name="image6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3915" cy="65442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eader" Target="header1.xml"/><Relationship Id="rId10" Type="http://schemas.openxmlformats.org/officeDocument/2006/relationships/image" Target="media/image4.png"/><Relationship Id="rId12" Type="http://schemas.openxmlformats.org/officeDocument/2006/relationships/footer" Target="footer1.xml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lavanguardia.com/vida/junior-report/20181212/453526386888/acuerdo-paris-2015-cop21-conclusiones-futuro.html" TargetMode="External"/><Relationship Id="rId8" Type="http://schemas.openxmlformats.org/officeDocument/2006/relationships/image" Target="media/image5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unito-regular.ttf"/><Relationship Id="rId2" Type="http://schemas.openxmlformats.org/officeDocument/2006/relationships/font" Target="fonts/Nunito-bold.ttf"/><Relationship Id="rId3" Type="http://schemas.openxmlformats.org/officeDocument/2006/relationships/font" Target="fonts/Nunito-italic.ttf"/><Relationship Id="rId4" Type="http://schemas.openxmlformats.org/officeDocument/2006/relationships/font" Target="fonts/Nunito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F3IGXhyN7f5eXtFuK+tQnr7lxSQ==">CgMxLjAyCGguZ2pkZ3hzOABqJgoUc3VnZ2VzdC5xbmNyczJ4c3l5aWYSDlJpY2FyZG8gRnJlZGVzaiYKFHN1Z2dlc3QudjI2aW1mcmlyNm9hEg5SaWNhcmRvIEZyZWRlc3IhMTBSTGctdDg0MXZoc0ctczlLQ20tX05CY1BSbUFrLUZS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