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2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Elección de rutas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4996555" cy="3764528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555" cy="37645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de caminos minimales que van de A a B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A a C.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C a B.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pasando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sin pasar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el repartidor escoja un camino que vaya de A hasta B que no pase por C? Aproximen el resultado con 3 decimales.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Interpreten el resultado determinado anteriormente.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